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2263"/>
        <w:gridCol w:w="7484"/>
      </w:tblGrid>
      <w:tr w:rsidR="00546CB4" w14:paraId="0FAD9B7F" w14:textId="77777777" w:rsidTr="00106D70">
        <w:tc>
          <w:tcPr>
            <w:tcW w:w="9747" w:type="dxa"/>
            <w:gridSpan w:val="2"/>
            <w:shd w:val="clear" w:color="auto" w:fill="9CC2E5" w:themeFill="accent1" w:themeFillTint="99"/>
          </w:tcPr>
          <w:p w14:paraId="0FAD9B7E" w14:textId="77777777" w:rsidR="00546CB4" w:rsidRPr="00546CB4" w:rsidRDefault="00282E56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82E56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A02D17">
              <w:t xml:space="preserve"> </w:t>
            </w:r>
            <w:r w:rsidR="00A02D17" w:rsidRPr="00A02D17">
              <w:rPr>
                <w:b/>
                <w:color w:val="FFFFFF" w:themeColor="background1"/>
                <w:sz w:val="36"/>
                <w:szCs w:val="36"/>
              </w:rPr>
              <w:t>2 Fire Safety Technical Cycle</w:t>
            </w:r>
          </w:p>
        </w:tc>
      </w:tr>
      <w:tr w:rsidR="00546CB4" w14:paraId="0FAD9B82" w14:textId="77777777" w:rsidTr="00106D70">
        <w:tc>
          <w:tcPr>
            <w:tcW w:w="2263" w:type="dxa"/>
          </w:tcPr>
          <w:p w14:paraId="0FAD9B80" w14:textId="77777777" w:rsidR="00546CB4" w:rsidRPr="00106D70" w:rsidRDefault="00546CB4" w:rsidP="00546CB4">
            <w:pPr>
              <w:jc w:val="right"/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Level</w:t>
            </w:r>
          </w:p>
        </w:tc>
        <w:tc>
          <w:tcPr>
            <w:tcW w:w="7484" w:type="dxa"/>
          </w:tcPr>
          <w:p w14:paraId="0FAD9B81" w14:textId="77777777" w:rsidR="00546CB4" w:rsidRPr="00106D70" w:rsidRDefault="00A02D17" w:rsidP="00282E56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5</w:t>
            </w:r>
          </w:p>
        </w:tc>
      </w:tr>
      <w:tr w:rsidR="00546CB4" w14:paraId="0FAD9B85" w14:textId="77777777" w:rsidTr="00106D70">
        <w:tc>
          <w:tcPr>
            <w:tcW w:w="2263" w:type="dxa"/>
          </w:tcPr>
          <w:p w14:paraId="0FAD9B83" w14:textId="77777777" w:rsidR="00546CB4" w:rsidRPr="00106D70" w:rsidRDefault="00546CB4" w:rsidP="00546CB4">
            <w:pPr>
              <w:jc w:val="right"/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Duration</w:t>
            </w:r>
          </w:p>
        </w:tc>
        <w:tc>
          <w:tcPr>
            <w:tcW w:w="7484" w:type="dxa"/>
          </w:tcPr>
          <w:p w14:paraId="0FAD9B84" w14:textId="2FA1A77F" w:rsidR="00546CB4" w:rsidRPr="00106D70" w:rsidRDefault="00634E78" w:rsidP="00A02D17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 xml:space="preserve">Minimum of </w:t>
            </w:r>
            <w:r w:rsidR="00DA2D87">
              <w:rPr>
                <w:sz w:val="24"/>
                <w:szCs w:val="24"/>
              </w:rPr>
              <w:t>75</w:t>
            </w:r>
            <w:r w:rsidRPr="00106D70">
              <w:rPr>
                <w:sz w:val="24"/>
                <w:szCs w:val="24"/>
              </w:rPr>
              <w:t xml:space="preserve"> hours</w:t>
            </w:r>
          </w:p>
        </w:tc>
      </w:tr>
      <w:tr w:rsidR="00546CB4" w14:paraId="0FAD9B88" w14:textId="77777777" w:rsidTr="00106D70">
        <w:tc>
          <w:tcPr>
            <w:tcW w:w="2263" w:type="dxa"/>
          </w:tcPr>
          <w:p w14:paraId="0FAD9B86" w14:textId="77777777" w:rsidR="00546CB4" w:rsidRPr="00106D70" w:rsidRDefault="00546CB4" w:rsidP="00546CB4">
            <w:pPr>
              <w:jc w:val="right"/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Credits / Points</w:t>
            </w:r>
          </w:p>
        </w:tc>
        <w:tc>
          <w:tcPr>
            <w:tcW w:w="7484" w:type="dxa"/>
          </w:tcPr>
          <w:p w14:paraId="0FAD9B87" w14:textId="4036B21C" w:rsidR="00546CB4" w:rsidRPr="00106D70" w:rsidRDefault="00DA2D87" w:rsidP="00282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63ABA" w:rsidRPr="00106D70">
              <w:rPr>
                <w:sz w:val="24"/>
                <w:szCs w:val="24"/>
              </w:rPr>
              <w:t xml:space="preserve"> </w:t>
            </w:r>
          </w:p>
        </w:tc>
      </w:tr>
      <w:tr w:rsidR="00546CB4" w14:paraId="0FAD9B8B" w14:textId="77777777" w:rsidTr="00106D70">
        <w:tc>
          <w:tcPr>
            <w:tcW w:w="2263" w:type="dxa"/>
          </w:tcPr>
          <w:p w14:paraId="0FAD9B89" w14:textId="77777777" w:rsidR="00546CB4" w:rsidRPr="00106D70" w:rsidRDefault="00546CB4" w:rsidP="00546CB4">
            <w:pPr>
              <w:jc w:val="right"/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Aim</w:t>
            </w:r>
          </w:p>
        </w:tc>
        <w:tc>
          <w:tcPr>
            <w:tcW w:w="7484" w:type="dxa"/>
          </w:tcPr>
          <w:p w14:paraId="0FAD9B8A" w14:textId="51D1DE95" w:rsidR="00546CB4" w:rsidRPr="00106D70" w:rsidRDefault="00CC1425" w:rsidP="00282E56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Learners will develop in-</w:t>
            </w:r>
            <w:r w:rsidR="00A02D17" w:rsidRPr="00106D70">
              <w:rPr>
                <w:sz w:val="24"/>
                <w:szCs w:val="24"/>
              </w:rPr>
              <w:t>depth technical knowledge of fire safety and fire protection systems and techniques in ind</w:t>
            </w:r>
            <w:r w:rsidR="00B63ABA" w:rsidRPr="00106D70">
              <w:rPr>
                <w:sz w:val="24"/>
                <w:szCs w:val="24"/>
              </w:rPr>
              <w:t>ustrial and commercial premises</w:t>
            </w:r>
          </w:p>
        </w:tc>
      </w:tr>
      <w:tr w:rsidR="00546CB4" w14:paraId="0FAD9B8E" w14:textId="77777777" w:rsidTr="00106D70">
        <w:tc>
          <w:tcPr>
            <w:tcW w:w="2263" w:type="dxa"/>
          </w:tcPr>
          <w:p w14:paraId="0FAD9B8C" w14:textId="77777777" w:rsidR="00546CB4" w:rsidRPr="00106D70" w:rsidRDefault="00546CB4" w:rsidP="00546CB4">
            <w:pPr>
              <w:jc w:val="right"/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Target Public</w:t>
            </w:r>
          </w:p>
        </w:tc>
        <w:tc>
          <w:tcPr>
            <w:tcW w:w="7484" w:type="dxa"/>
          </w:tcPr>
          <w:p w14:paraId="0FAD9B8D" w14:textId="55FF0668" w:rsidR="00546CB4" w:rsidRPr="00106D70" w:rsidRDefault="00A02D17" w:rsidP="00282E56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This is a vo</w:t>
            </w:r>
            <w:r w:rsidR="0029136F" w:rsidRPr="00106D70">
              <w:rPr>
                <w:sz w:val="24"/>
                <w:szCs w:val="24"/>
              </w:rPr>
              <w:t>cational course for those with f</w:t>
            </w:r>
            <w:r w:rsidRPr="00106D70">
              <w:rPr>
                <w:sz w:val="24"/>
                <w:szCs w:val="24"/>
              </w:rPr>
              <w:t xml:space="preserve">ire prevention or safety related roles within an organisation or as a consultant providing that information to an organisation as a </w:t>
            </w:r>
            <w:r w:rsidR="000B5439">
              <w:rPr>
                <w:sz w:val="24"/>
                <w:szCs w:val="24"/>
              </w:rPr>
              <w:t>specialist</w:t>
            </w:r>
            <w:r w:rsidR="0029136F" w:rsidRPr="00106D70">
              <w:rPr>
                <w:sz w:val="24"/>
                <w:szCs w:val="24"/>
              </w:rPr>
              <w:t xml:space="preserve"> in the field of f</w:t>
            </w:r>
            <w:r w:rsidR="00B63ABA" w:rsidRPr="00106D70">
              <w:rPr>
                <w:sz w:val="24"/>
                <w:szCs w:val="24"/>
              </w:rPr>
              <w:t>ire prevention</w:t>
            </w:r>
          </w:p>
        </w:tc>
      </w:tr>
      <w:tr w:rsidR="00546CB4" w14:paraId="0FAD9B91" w14:textId="77777777" w:rsidTr="00106D70">
        <w:tc>
          <w:tcPr>
            <w:tcW w:w="2263" w:type="dxa"/>
          </w:tcPr>
          <w:p w14:paraId="0FAD9B8F" w14:textId="77777777" w:rsidR="00546CB4" w:rsidRPr="00106D70" w:rsidRDefault="00546CB4" w:rsidP="00546CB4">
            <w:pPr>
              <w:jc w:val="right"/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Prerequisites</w:t>
            </w:r>
          </w:p>
        </w:tc>
        <w:tc>
          <w:tcPr>
            <w:tcW w:w="7484" w:type="dxa"/>
          </w:tcPr>
          <w:p w14:paraId="0FAD9B90" w14:textId="77777777" w:rsidR="00546CB4" w:rsidRPr="00106D70" w:rsidRDefault="00282E56" w:rsidP="00282E56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None</w:t>
            </w:r>
          </w:p>
        </w:tc>
      </w:tr>
      <w:tr w:rsidR="00546CB4" w14:paraId="0FAD9B94" w14:textId="77777777" w:rsidTr="00106D70">
        <w:tc>
          <w:tcPr>
            <w:tcW w:w="2263" w:type="dxa"/>
          </w:tcPr>
          <w:p w14:paraId="0FAD9B92" w14:textId="77777777" w:rsidR="00546CB4" w:rsidRPr="00106D70" w:rsidRDefault="00546CB4" w:rsidP="00546CB4">
            <w:pPr>
              <w:jc w:val="right"/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Progression</w:t>
            </w:r>
          </w:p>
        </w:tc>
        <w:tc>
          <w:tcPr>
            <w:tcW w:w="7484" w:type="dxa"/>
          </w:tcPr>
          <w:p w14:paraId="0FAD9B93" w14:textId="05950A1E" w:rsidR="00546CB4" w:rsidRPr="00106D70" w:rsidRDefault="00634E78" w:rsidP="00634E78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Courses from the CFPA qualifications framework to broaden knowledge at Level 5 or progress to Fire Safety - Management Cycle at Level 6</w:t>
            </w:r>
          </w:p>
        </w:tc>
      </w:tr>
      <w:tr w:rsidR="00546CB4" w14:paraId="0FAD9B96" w14:textId="77777777" w:rsidTr="00106D70">
        <w:tc>
          <w:tcPr>
            <w:tcW w:w="9747" w:type="dxa"/>
            <w:gridSpan w:val="2"/>
            <w:shd w:val="clear" w:color="auto" w:fill="9CC2E5" w:themeFill="accent1" w:themeFillTint="99"/>
          </w:tcPr>
          <w:p w14:paraId="0FAD9B95" w14:textId="77777777" w:rsidR="00546CB4" w:rsidRPr="00106D70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FAD9B99" w14:textId="77777777" w:rsidTr="00106D70">
        <w:tc>
          <w:tcPr>
            <w:tcW w:w="2263" w:type="dxa"/>
          </w:tcPr>
          <w:p w14:paraId="0FAD9B97" w14:textId="6F02B5A2" w:rsidR="00546CB4" w:rsidRPr="00106D70" w:rsidRDefault="00546CB4" w:rsidP="00546CB4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Learning Outcomes</w:t>
            </w:r>
          </w:p>
        </w:tc>
        <w:tc>
          <w:tcPr>
            <w:tcW w:w="7484" w:type="dxa"/>
          </w:tcPr>
          <w:p w14:paraId="0FAD9B98" w14:textId="00A893CA" w:rsidR="00546CB4" w:rsidRPr="00106D70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Upon succe</w:t>
            </w:r>
            <w:r w:rsidR="00CC1425" w:rsidRPr="00106D70">
              <w:rPr>
                <w:sz w:val="24"/>
                <w:szCs w:val="24"/>
              </w:rPr>
              <w:t>ssful completion of the course l</w:t>
            </w:r>
            <w:r w:rsidRPr="00106D70">
              <w:rPr>
                <w:sz w:val="24"/>
                <w:szCs w:val="24"/>
              </w:rPr>
              <w:t>earners will be able to:</w:t>
            </w:r>
          </w:p>
        </w:tc>
      </w:tr>
      <w:tr w:rsidR="00546CB4" w14:paraId="0FAD9B9C" w14:textId="77777777" w:rsidTr="00106D70">
        <w:tc>
          <w:tcPr>
            <w:tcW w:w="2263" w:type="dxa"/>
          </w:tcPr>
          <w:p w14:paraId="0FAD9B9A" w14:textId="77777777" w:rsidR="00546CB4" w:rsidRPr="00106D70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FAD9B9B" w14:textId="48684FC3" w:rsidR="00546CB4" w:rsidRPr="00106D70" w:rsidRDefault="00CC1425" w:rsidP="00927B82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 xml:space="preserve">Construct and design fire risk mitigation plans for buildings and </w:t>
            </w:r>
            <w:r w:rsidR="00CB2D0B" w:rsidRPr="00106D70">
              <w:rPr>
                <w:sz w:val="24"/>
                <w:szCs w:val="24"/>
              </w:rPr>
              <w:t xml:space="preserve">the </w:t>
            </w:r>
            <w:r w:rsidRPr="00106D70">
              <w:rPr>
                <w:sz w:val="24"/>
                <w:szCs w:val="24"/>
              </w:rPr>
              <w:t xml:space="preserve">business based upon </w:t>
            </w:r>
            <w:r w:rsidR="00CB2D0B" w:rsidRPr="00106D70">
              <w:rPr>
                <w:sz w:val="24"/>
                <w:szCs w:val="24"/>
              </w:rPr>
              <w:t xml:space="preserve">knowledgeable identification of fire risk </w:t>
            </w:r>
            <w:r w:rsidRPr="00106D70">
              <w:rPr>
                <w:sz w:val="24"/>
                <w:szCs w:val="24"/>
              </w:rPr>
              <w:t xml:space="preserve"> </w:t>
            </w:r>
          </w:p>
        </w:tc>
      </w:tr>
      <w:tr w:rsidR="00546CB4" w14:paraId="0FAD9B9F" w14:textId="77777777" w:rsidTr="00106D70">
        <w:tc>
          <w:tcPr>
            <w:tcW w:w="2263" w:type="dxa"/>
          </w:tcPr>
          <w:p w14:paraId="0FAD9B9D" w14:textId="77777777" w:rsidR="00546CB4" w:rsidRPr="00106D70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FAD9B9E" w14:textId="2876C7F2" w:rsidR="00546CB4" w:rsidRPr="00106D70" w:rsidRDefault="00CB2D0B" w:rsidP="00282E56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G</w:t>
            </w:r>
            <w:r w:rsidR="00927B82" w:rsidRPr="00106D70">
              <w:rPr>
                <w:sz w:val="24"/>
                <w:szCs w:val="24"/>
              </w:rPr>
              <w:t xml:space="preserve">enerate </w:t>
            </w:r>
            <w:r w:rsidRPr="00106D70">
              <w:rPr>
                <w:sz w:val="24"/>
                <w:szCs w:val="24"/>
              </w:rPr>
              <w:t xml:space="preserve">plans incorporating </w:t>
            </w:r>
            <w:r w:rsidR="00927B82" w:rsidRPr="00106D70">
              <w:rPr>
                <w:sz w:val="24"/>
                <w:szCs w:val="24"/>
              </w:rPr>
              <w:t>detailed knowledge</w:t>
            </w:r>
            <w:r w:rsidR="00A02D17" w:rsidRPr="00106D70">
              <w:rPr>
                <w:sz w:val="24"/>
                <w:szCs w:val="24"/>
              </w:rPr>
              <w:t xml:space="preserve"> of the systems u</w:t>
            </w:r>
            <w:r w:rsidR="000B5439">
              <w:rPr>
                <w:sz w:val="24"/>
                <w:szCs w:val="24"/>
              </w:rPr>
              <w:t>su</w:t>
            </w:r>
            <w:r w:rsidR="00A02D17" w:rsidRPr="00106D70">
              <w:rPr>
                <w:sz w:val="24"/>
                <w:szCs w:val="24"/>
              </w:rPr>
              <w:t xml:space="preserve">ally used to prevent, identify, </w:t>
            </w:r>
            <w:r w:rsidR="00927B82" w:rsidRPr="00106D70">
              <w:rPr>
                <w:sz w:val="24"/>
                <w:szCs w:val="24"/>
              </w:rPr>
              <w:t xml:space="preserve">and </w:t>
            </w:r>
            <w:r w:rsidR="00A02D17" w:rsidRPr="00106D70">
              <w:rPr>
                <w:sz w:val="24"/>
                <w:szCs w:val="24"/>
              </w:rPr>
              <w:t xml:space="preserve">suppress </w:t>
            </w:r>
            <w:r w:rsidR="00927B82" w:rsidRPr="00106D70">
              <w:rPr>
                <w:sz w:val="24"/>
                <w:szCs w:val="24"/>
              </w:rPr>
              <w:t xml:space="preserve">fire </w:t>
            </w:r>
            <w:r w:rsidR="00A02D17" w:rsidRPr="00106D70">
              <w:rPr>
                <w:sz w:val="24"/>
                <w:szCs w:val="24"/>
              </w:rPr>
              <w:t>and</w:t>
            </w:r>
            <w:r w:rsidR="00927B82" w:rsidRPr="00106D70">
              <w:rPr>
                <w:sz w:val="24"/>
                <w:szCs w:val="24"/>
              </w:rPr>
              <w:t xml:space="preserve"> in doing so</w:t>
            </w:r>
            <w:r w:rsidR="00AF5714" w:rsidRPr="00106D70">
              <w:rPr>
                <w:sz w:val="24"/>
                <w:szCs w:val="24"/>
              </w:rPr>
              <w:t xml:space="preserve"> protect people and property</w:t>
            </w:r>
          </w:p>
        </w:tc>
      </w:tr>
      <w:tr w:rsidR="00546CB4" w14:paraId="0FAD9BA2" w14:textId="77777777" w:rsidTr="00106D70">
        <w:tc>
          <w:tcPr>
            <w:tcW w:w="2263" w:type="dxa"/>
          </w:tcPr>
          <w:p w14:paraId="0FAD9BA0" w14:textId="77777777" w:rsidR="00546CB4" w:rsidRPr="00106D70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FAD9BA1" w14:textId="725C014C" w:rsidR="00546CB4" w:rsidRPr="00106D70" w:rsidRDefault="00CB2D0B" w:rsidP="00876ACE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Appraise and s</w:t>
            </w:r>
            <w:r w:rsidR="00927B82" w:rsidRPr="00106D70">
              <w:rPr>
                <w:sz w:val="24"/>
                <w:szCs w:val="24"/>
              </w:rPr>
              <w:t xml:space="preserve">elect the appropriate </w:t>
            </w:r>
            <w:r w:rsidRPr="00106D70">
              <w:rPr>
                <w:sz w:val="24"/>
                <w:szCs w:val="24"/>
              </w:rPr>
              <w:t>existing regulations in f</w:t>
            </w:r>
            <w:r w:rsidR="00A02D17" w:rsidRPr="00106D70">
              <w:rPr>
                <w:sz w:val="24"/>
                <w:szCs w:val="24"/>
              </w:rPr>
              <w:t>ire prevention and protection</w:t>
            </w:r>
            <w:r w:rsidR="002B2FC8" w:rsidRPr="00106D70">
              <w:rPr>
                <w:sz w:val="24"/>
                <w:szCs w:val="24"/>
              </w:rPr>
              <w:t xml:space="preserve">. Combine their </w:t>
            </w:r>
            <w:r w:rsidR="00A02D17" w:rsidRPr="00106D70">
              <w:rPr>
                <w:sz w:val="24"/>
                <w:szCs w:val="24"/>
              </w:rPr>
              <w:t xml:space="preserve">use </w:t>
            </w:r>
            <w:r w:rsidR="002B2FC8" w:rsidRPr="00106D70">
              <w:rPr>
                <w:sz w:val="24"/>
                <w:szCs w:val="24"/>
              </w:rPr>
              <w:t xml:space="preserve">with current procedures for managing fire risk in the buildings or business. Create communication strategies on their use </w:t>
            </w:r>
            <w:r w:rsidR="00DC278D" w:rsidRPr="00106D70">
              <w:rPr>
                <w:sz w:val="24"/>
                <w:szCs w:val="24"/>
              </w:rPr>
              <w:t>for</w:t>
            </w:r>
            <w:r w:rsidR="00A02D17" w:rsidRPr="00106D70">
              <w:rPr>
                <w:sz w:val="24"/>
                <w:szCs w:val="24"/>
              </w:rPr>
              <w:t xml:space="preserve"> others</w:t>
            </w:r>
            <w:r w:rsidR="002B2FC8" w:rsidRPr="00106D70">
              <w:rPr>
                <w:sz w:val="24"/>
                <w:szCs w:val="24"/>
              </w:rPr>
              <w:t>, including s</w:t>
            </w:r>
            <w:r w:rsidR="00927B82" w:rsidRPr="00106D70">
              <w:rPr>
                <w:sz w:val="24"/>
                <w:szCs w:val="24"/>
              </w:rPr>
              <w:t>enior management as well as employees</w:t>
            </w:r>
          </w:p>
        </w:tc>
      </w:tr>
      <w:tr w:rsidR="00546CB4" w14:paraId="0FAD9BA5" w14:textId="77777777" w:rsidTr="00106D70">
        <w:tc>
          <w:tcPr>
            <w:tcW w:w="2263" w:type="dxa"/>
          </w:tcPr>
          <w:p w14:paraId="0FAD9BA3" w14:textId="77777777" w:rsidR="00546CB4" w:rsidRPr="00106D70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FAD9BA4" w14:textId="4BDD3646" w:rsidR="00546CB4" w:rsidRPr="00106D70" w:rsidRDefault="00DC278D" w:rsidP="00927B82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 xml:space="preserve">Put forward </w:t>
            </w:r>
            <w:r w:rsidR="002B2FC8" w:rsidRPr="00106D70">
              <w:rPr>
                <w:sz w:val="24"/>
                <w:szCs w:val="24"/>
              </w:rPr>
              <w:t xml:space="preserve">competent </w:t>
            </w:r>
            <w:r w:rsidRPr="00106D70">
              <w:rPr>
                <w:sz w:val="24"/>
                <w:szCs w:val="24"/>
              </w:rPr>
              <w:t>fire risk management representation for liaison</w:t>
            </w:r>
            <w:r w:rsidR="00927B82" w:rsidRPr="00106D70">
              <w:rPr>
                <w:sz w:val="24"/>
                <w:szCs w:val="24"/>
              </w:rPr>
              <w:t xml:space="preserve"> </w:t>
            </w:r>
            <w:r w:rsidRPr="00106D70">
              <w:rPr>
                <w:sz w:val="24"/>
                <w:szCs w:val="24"/>
              </w:rPr>
              <w:t xml:space="preserve">with </w:t>
            </w:r>
            <w:r w:rsidR="00927B82" w:rsidRPr="00106D70">
              <w:rPr>
                <w:sz w:val="24"/>
                <w:szCs w:val="24"/>
              </w:rPr>
              <w:t xml:space="preserve">authorities and </w:t>
            </w:r>
            <w:r w:rsidR="004E5728" w:rsidRPr="00106D70">
              <w:rPr>
                <w:sz w:val="24"/>
                <w:szCs w:val="24"/>
              </w:rPr>
              <w:t>inspection bodies in all areas</w:t>
            </w:r>
            <w:r w:rsidR="00927B82" w:rsidRPr="00106D70">
              <w:rPr>
                <w:sz w:val="24"/>
                <w:szCs w:val="24"/>
              </w:rPr>
              <w:t xml:space="preserve"> of fire safety and fire protection and prevention</w:t>
            </w:r>
          </w:p>
        </w:tc>
      </w:tr>
      <w:tr w:rsidR="00546CB4" w14:paraId="0FAD9BA8" w14:textId="77777777" w:rsidTr="00106D70">
        <w:tc>
          <w:tcPr>
            <w:tcW w:w="2263" w:type="dxa"/>
          </w:tcPr>
          <w:p w14:paraId="0FAD9BA6" w14:textId="77777777" w:rsidR="00546CB4" w:rsidRPr="00106D70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FAD9BA7" w14:textId="2F60A77A" w:rsidR="00546CB4" w:rsidRPr="00106D70" w:rsidRDefault="00927B82" w:rsidP="00927B82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Generate information to employees and other relevant persons with regard to fire safety in t</w:t>
            </w:r>
            <w:r w:rsidR="00DC278D" w:rsidRPr="00106D70">
              <w:rPr>
                <w:sz w:val="24"/>
                <w:szCs w:val="24"/>
              </w:rPr>
              <w:t>he organisation</w:t>
            </w:r>
            <w:r w:rsidR="00AF5714" w:rsidRPr="00106D70">
              <w:rPr>
                <w:sz w:val="24"/>
                <w:szCs w:val="24"/>
              </w:rPr>
              <w:t xml:space="preserve">.  </w:t>
            </w:r>
            <w:r w:rsidR="00DC278D" w:rsidRPr="00106D70">
              <w:rPr>
                <w:sz w:val="24"/>
                <w:szCs w:val="24"/>
              </w:rPr>
              <w:t xml:space="preserve">Plan for </w:t>
            </w:r>
            <w:r w:rsidR="00EB332A" w:rsidRPr="00106D70">
              <w:rPr>
                <w:sz w:val="24"/>
                <w:szCs w:val="24"/>
              </w:rPr>
              <w:t xml:space="preserve">and implement </w:t>
            </w:r>
            <w:r w:rsidRPr="00106D70">
              <w:rPr>
                <w:sz w:val="24"/>
                <w:szCs w:val="24"/>
              </w:rPr>
              <w:t>suitable training for all employees</w:t>
            </w:r>
          </w:p>
        </w:tc>
      </w:tr>
      <w:tr w:rsidR="00546CB4" w14:paraId="0FAD9BAB" w14:textId="77777777" w:rsidTr="00106D70">
        <w:tc>
          <w:tcPr>
            <w:tcW w:w="2263" w:type="dxa"/>
          </w:tcPr>
          <w:p w14:paraId="0FAD9BA9" w14:textId="77777777" w:rsidR="00546CB4" w:rsidRPr="00106D70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FAD9BAA" w14:textId="6A3B010E" w:rsidR="00546CB4" w:rsidRPr="00106D70" w:rsidRDefault="00927B82" w:rsidP="00282E56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 xml:space="preserve">Assist in the </w:t>
            </w:r>
            <w:r w:rsidR="002B2FC8" w:rsidRPr="00106D70">
              <w:rPr>
                <w:sz w:val="24"/>
                <w:szCs w:val="24"/>
              </w:rPr>
              <w:t>m</w:t>
            </w:r>
            <w:r w:rsidRPr="00106D70">
              <w:rPr>
                <w:sz w:val="24"/>
                <w:szCs w:val="24"/>
              </w:rPr>
              <w:t xml:space="preserve">anagement and direction of all personnel responsible for fire safety including fire wardens and fire </w:t>
            </w:r>
            <w:r w:rsidR="00AF5714" w:rsidRPr="00106D70">
              <w:rPr>
                <w:sz w:val="24"/>
                <w:szCs w:val="24"/>
              </w:rPr>
              <w:t>intervention teams</w:t>
            </w:r>
          </w:p>
        </w:tc>
      </w:tr>
      <w:tr w:rsidR="00546CB4" w14:paraId="0FAD9BAE" w14:textId="77777777" w:rsidTr="00106D70">
        <w:tc>
          <w:tcPr>
            <w:tcW w:w="2263" w:type="dxa"/>
          </w:tcPr>
          <w:p w14:paraId="0FAD9BAC" w14:textId="77777777" w:rsidR="00546CB4" w:rsidRPr="00106D70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14:paraId="0FAD9BAD" w14:textId="1C9E7A9C" w:rsidR="00546CB4" w:rsidRPr="00106D70" w:rsidRDefault="00927B82" w:rsidP="00282E56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 xml:space="preserve">Design a maintenance regime for all fire prevention, suppression </w:t>
            </w:r>
            <w:r w:rsidR="00DC278D" w:rsidRPr="00106D70">
              <w:rPr>
                <w:sz w:val="24"/>
                <w:szCs w:val="24"/>
              </w:rPr>
              <w:t>or alarm systems provided across</w:t>
            </w:r>
            <w:r w:rsidRPr="00106D70">
              <w:rPr>
                <w:sz w:val="24"/>
                <w:szCs w:val="24"/>
              </w:rPr>
              <w:t xml:space="preserve"> company locations</w:t>
            </w:r>
            <w:r w:rsidR="00DC278D" w:rsidRPr="00106D70">
              <w:rPr>
                <w:sz w:val="24"/>
                <w:szCs w:val="24"/>
              </w:rPr>
              <w:t xml:space="preserve"> including measures to</w:t>
            </w:r>
            <w:r w:rsidRPr="00106D70">
              <w:rPr>
                <w:sz w:val="24"/>
                <w:szCs w:val="24"/>
              </w:rPr>
              <w:t xml:space="preserve"> ensure compliance and monitor system status</w:t>
            </w:r>
          </w:p>
        </w:tc>
      </w:tr>
      <w:tr w:rsidR="00546CB4" w14:paraId="0FAD9BB0" w14:textId="77777777" w:rsidTr="00106D70">
        <w:tc>
          <w:tcPr>
            <w:tcW w:w="9747" w:type="dxa"/>
            <w:gridSpan w:val="2"/>
            <w:shd w:val="clear" w:color="auto" w:fill="9CC2E5" w:themeFill="accent1" w:themeFillTint="99"/>
          </w:tcPr>
          <w:p w14:paraId="0FAD9BAF" w14:textId="77777777" w:rsidR="00546CB4" w:rsidRPr="00106D70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FAD9BB3" w14:textId="77777777" w:rsidTr="00106D70">
        <w:tc>
          <w:tcPr>
            <w:tcW w:w="2263" w:type="dxa"/>
          </w:tcPr>
          <w:p w14:paraId="0FAD9BB1" w14:textId="77777777" w:rsidR="00546CB4" w:rsidRPr="00106D70" w:rsidRDefault="00546CB4" w:rsidP="00546CB4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Related Guidelines</w:t>
            </w:r>
          </w:p>
        </w:tc>
        <w:tc>
          <w:tcPr>
            <w:tcW w:w="7484" w:type="dxa"/>
          </w:tcPr>
          <w:p w14:paraId="0FAD9BB2" w14:textId="16DE6850" w:rsidR="00546CB4" w:rsidRPr="00153EA7" w:rsidRDefault="00A02D17" w:rsidP="00282E56">
            <w:pPr>
              <w:rPr>
                <w:sz w:val="24"/>
                <w:szCs w:val="24"/>
              </w:rPr>
            </w:pPr>
            <w:r w:rsidRPr="00153EA7">
              <w:rPr>
                <w:sz w:val="24"/>
                <w:szCs w:val="24"/>
              </w:rPr>
              <w:t>1</w:t>
            </w:r>
            <w:r w:rsidR="00324DBB" w:rsidRPr="00153EA7">
              <w:rPr>
                <w:sz w:val="24"/>
                <w:szCs w:val="24"/>
              </w:rPr>
              <w:t xml:space="preserve"> </w:t>
            </w:r>
            <w:r w:rsidRPr="00153EA7">
              <w:rPr>
                <w:sz w:val="24"/>
                <w:szCs w:val="24"/>
              </w:rPr>
              <w:t>F; 2</w:t>
            </w:r>
            <w:r w:rsidR="00324DBB" w:rsidRPr="00153EA7">
              <w:rPr>
                <w:sz w:val="24"/>
                <w:szCs w:val="24"/>
              </w:rPr>
              <w:t xml:space="preserve"> </w:t>
            </w:r>
            <w:r w:rsidRPr="00153EA7">
              <w:rPr>
                <w:sz w:val="24"/>
                <w:szCs w:val="24"/>
              </w:rPr>
              <w:t>F; 4</w:t>
            </w:r>
            <w:r w:rsidR="00324DBB" w:rsidRPr="00153EA7">
              <w:rPr>
                <w:sz w:val="24"/>
                <w:szCs w:val="24"/>
              </w:rPr>
              <w:t xml:space="preserve"> </w:t>
            </w:r>
            <w:r w:rsidRPr="00153EA7">
              <w:rPr>
                <w:sz w:val="24"/>
                <w:szCs w:val="24"/>
              </w:rPr>
              <w:t>F; 5</w:t>
            </w:r>
            <w:r w:rsidR="00324DBB" w:rsidRPr="00153EA7">
              <w:rPr>
                <w:sz w:val="24"/>
                <w:szCs w:val="24"/>
              </w:rPr>
              <w:t xml:space="preserve"> </w:t>
            </w:r>
            <w:r w:rsidRPr="00153EA7">
              <w:rPr>
                <w:sz w:val="24"/>
                <w:szCs w:val="24"/>
              </w:rPr>
              <w:t>F; 11</w:t>
            </w:r>
            <w:r w:rsidR="00324DBB" w:rsidRPr="00153EA7">
              <w:rPr>
                <w:sz w:val="24"/>
                <w:szCs w:val="24"/>
              </w:rPr>
              <w:t xml:space="preserve"> </w:t>
            </w:r>
            <w:r w:rsidRPr="00153EA7">
              <w:rPr>
                <w:sz w:val="24"/>
                <w:szCs w:val="24"/>
              </w:rPr>
              <w:t>F; 12</w:t>
            </w:r>
            <w:r w:rsidR="00324DBB" w:rsidRPr="00153EA7">
              <w:rPr>
                <w:sz w:val="24"/>
                <w:szCs w:val="24"/>
              </w:rPr>
              <w:t xml:space="preserve"> </w:t>
            </w:r>
            <w:r w:rsidRPr="00153EA7">
              <w:rPr>
                <w:sz w:val="24"/>
                <w:szCs w:val="24"/>
              </w:rPr>
              <w:t>F; 13</w:t>
            </w:r>
            <w:r w:rsidR="00324DBB" w:rsidRPr="00153EA7">
              <w:rPr>
                <w:sz w:val="24"/>
                <w:szCs w:val="24"/>
              </w:rPr>
              <w:t xml:space="preserve"> </w:t>
            </w:r>
            <w:r w:rsidRPr="00153EA7">
              <w:rPr>
                <w:sz w:val="24"/>
                <w:szCs w:val="24"/>
              </w:rPr>
              <w:t>F; 19</w:t>
            </w:r>
            <w:r w:rsidR="00324DBB" w:rsidRPr="00153EA7">
              <w:rPr>
                <w:sz w:val="24"/>
                <w:szCs w:val="24"/>
              </w:rPr>
              <w:t xml:space="preserve"> </w:t>
            </w:r>
            <w:r w:rsidRPr="00153EA7">
              <w:rPr>
                <w:sz w:val="24"/>
                <w:szCs w:val="24"/>
              </w:rPr>
              <w:t>F</w:t>
            </w:r>
            <w:r w:rsidR="002D2CD3" w:rsidRPr="00153EA7">
              <w:rPr>
                <w:sz w:val="24"/>
                <w:szCs w:val="24"/>
              </w:rPr>
              <w:t>, 23 F, 25 F, 33 F, 41 F, 42 F</w:t>
            </w:r>
          </w:p>
        </w:tc>
      </w:tr>
      <w:tr w:rsidR="00546CB4" w14:paraId="0FAD9BB6" w14:textId="77777777" w:rsidTr="00106D70">
        <w:tc>
          <w:tcPr>
            <w:tcW w:w="2263" w:type="dxa"/>
          </w:tcPr>
          <w:p w14:paraId="0FAD9BB4" w14:textId="77777777" w:rsidR="00546CB4" w:rsidRPr="00106D70" w:rsidRDefault="00546CB4" w:rsidP="00546CB4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484" w:type="dxa"/>
          </w:tcPr>
          <w:p w14:paraId="0FAD9BB5" w14:textId="34380917" w:rsidR="00546CB4" w:rsidRPr="00106D70" w:rsidRDefault="00634E78" w:rsidP="00282E56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A minimum of a w</w:t>
            </w:r>
            <w:r w:rsidR="00A02D17" w:rsidRPr="00106D70">
              <w:rPr>
                <w:sz w:val="24"/>
                <w:szCs w:val="24"/>
              </w:rPr>
              <w:t>ritten examination plus a case study presented orally or in writing</w:t>
            </w:r>
          </w:p>
        </w:tc>
      </w:tr>
      <w:tr w:rsidR="00546CB4" w14:paraId="0FAD9BBA" w14:textId="77777777" w:rsidTr="00106D70">
        <w:tc>
          <w:tcPr>
            <w:tcW w:w="2263" w:type="dxa"/>
          </w:tcPr>
          <w:p w14:paraId="0FAD9BB7" w14:textId="77777777" w:rsidR="00546CB4" w:rsidRPr="00106D70" w:rsidRDefault="00546CB4" w:rsidP="00546CB4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Qualifications</w:t>
            </w:r>
          </w:p>
        </w:tc>
        <w:tc>
          <w:tcPr>
            <w:tcW w:w="7484" w:type="dxa"/>
          </w:tcPr>
          <w:p w14:paraId="0FAD9BB8" w14:textId="77777777" w:rsidR="00A02D17" w:rsidRPr="00106D70" w:rsidRDefault="00A02D17" w:rsidP="00317FCA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Diploma</w:t>
            </w:r>
          </w:p>
          <w:p w14:paraId="0FAD9BB9" w14:textId="77777777" w:rsidR="00282E56" w:rsidRPr="00106D70" w:rsidRDefault="00A02D17" w:rsidP="00317FCA">
            <w:pPr>
              <w:rPr>
                <w:sz w:val="24"/>
                <w:szCs w:val="24"/>
              </w:rPr>
            </w:pPr>
            <w:r w:rsidRPr="00106D70">
              <w:rPr>
                <w:sz w:val="24"/>
                <w:szCs w:val="24"/>
              </w:rPr>
              <w:t>Optional subtitle «Fire Protection Manager CFPA-E»</w:t>
            </w:r>
          </w:p>
        </w:tc>
      </w:tr>
    </w:tbl>
    <w:p w14:paraId="0FAD9BBB" w14:textId="77777777" w:rsidR="001A5A84" w:rsidRDefault="001A5A84" w:rsidP="00106D70">
      <w:pPr>
        <w:shd w:val="clear" w:color="auto" w:fill="9CC2E5" w:themeFill="accent1" w:themeFillTint="99"/>
        <w:ind w:right="-613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1F87" w14:textId="77777777" w:rsidR="00713502" w:rsidRDefault="00713502" w:rsidP="00473160">
      <w:pPr>
        <w:spacing w:after="0" w:line="240" w:lineRule="auto"/>
      </w:pPr>
      <w:r>
        <w:separator/>
      </w:r>
    </w:p>
  </w:endnote>
  <w:endnote w:type="continuationSeparator" w:id="0">
    <w:p w14:paraId="583DFC53" w14:textId="77777777" w:rsidR="00713502" w:rsidRDefault="00713502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BC3" w14:textId="544B92BE" w:rsidR="00473160" w:rsidRPr="00106D70" w:rsidRDefault="00106D70" w:rsidP="00106D70">
    <w:pPr>
      <w:pStyle w:val="Alatunniste"/>
    </w:pPr>
    <w:r>
      <w:t xml:space="preserve">CFPA-E 1.2 Fire Safety Technical Cycle    Fire Safety Group  Version </w:t>
    </w:r>
    <w:r w:rsidR="004E178B">
      <w:t>5</w:t>
    </w:r>
    <w:r w:rsidR="00DA2D87">
      <w:t xml:space="preserve"> </w:t>
    </w:r>
    <w:r w:rsidR="004E178B">
      <w:t>Oct</w:t>
    </w:r>
    <w:r>
      <w:t xml:space="preserve"> 20</w:t>
    </w:r>
    <w:r w:rsidR="004E178B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C913" w14:textId="77777777" w:rsidR="00713502" w:rsidRDefault="00713502" w:rsidP="00473160">
      <w:pPr>
        <w:spacing w:after="0" w:line="240" w:lineRule="auto"/>
      </w:pPr>
      <w:r>
        <w:separator/>
      </w:r>
    </w:p>
  </w:footnote>
  <w:footnote w:type="continuationSeparator" w:id="0">
    <w:p w14:paraId="0254C8DC" w14:textId="77777777" w:rsidR="00713502" w:rsidRDefault="00713502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BC1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D9BC6" wp14:editId="0FAD9BC7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AD9BCA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FAD9BC6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0FAD9BCA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AD9BC8" wp14:editId="0FAD9BC9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22230"/>
    <w:rsid w:val="00033B45"/>
    <w:rsid w:val="000B5439"/>
    <w:rsid w:val="00106D70"/>
    <w:rsid w:val="00153EA7"/>
    <w:rsid w:val="00166529"/>
    <w:rsid w:val="001A5A84"/>
    <w:rsid w:val="002535B0"/>
    <w:rsid w:val="00282E56"/>
    <w:rsid w:val="0029136F"/>
    <w:rsid w:val="002B2FC8"/>
    <w:rsid w:val="002D2CD3"/>
    <w:rsid w:val="002F5140"/>
    <w:rsid w:val="00317FCA"/>
    <w:rsid w:val="00324DBB"/>
    <w:rsid w:val="00382622"/>
    <w:rsid w:val="003C59FD"/>
    <w:rsid w:val="00473160"/>
    <w:rsid w:val="00482EB2"/>
    <w:rsid w:val="004E178B"/>
    <w:rsid w:val="004E5728"/>
    <w:rsid w:val="004E77E5"/>
    <w:rsid w:val="00546CB4"/>
    <w:rsid w:val="005A7DEF"/>
    <w:rsid w:val="00634E78"/>
    <w:rsid w:val="006B2A74"/>
    <w:rsid w:val="006F0ED4"/>
    <w:rsid w:val="00713502"/>
    <w:rsid w:val="008002F4"/>
    <w:rsid w:val="00876ACE"/>
    <w:rsid w:val="00927B82"/>
    <w:rsid w:val="0096101C"/>
    <w:rsid w:val="00A02D17"/>
    <w:rsid w:val="00A1169F"/>
    <w:rsid w:val="00AF5714"/>
    <w:rsid w:val="00B13699"/>
    <w:rsid w:val="00B63ABA"/>
    <w:rsid w:val="00CB2D0B"/>
    <w:rsid w:val="00CC1425"/>
    <w:rsid w:val="00D92D66"/>
    <w:rsid w:val="00DA2D87"/>
    <w:rsid w:val="00DC278D"/>
    <w:rsid w:val="00EB332A"/>
    <w:rsid w:val="00E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D9B7E"/>
  <w15:docId w15:val="{3C31DABC-278D-4F51-9612-9002BC7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C142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C142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C142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C142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C14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BFBB4-DDDF-4B85-BF96-B65C48870D34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738638C7-9F3A-4BB6-9551-7B114795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9A41E-EFB2-4C2E-8391-19E97A145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41</TotalTime>
  <Pages>1</Pages>
  <Words>248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7</cp:revision>
  <cp:lastPrinted>2024-10-21T17:23:00Z</cp:lastPrinted>
  <dcterms:created xsi:type="dcterms:W3CDTF">2024-10-24T22:23:00Z</dcterms:created>
  <dcterms:modified xsi:type="dcterms:W3CDTF">2024-11-28T14:55:00Z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