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546CB4" w14:paraId="32E9D6D3" w14:textId="77777777" w:rsidTr="00C05922">
        <w:tc>
          <w:tcPr>
            <w:tcW w:w="9606" w:type="dxa"/>
            <w:gridSpan w:val="2"/>
            <w:shd w:val="clear" w:color="auto" w:fill="9CC2E5" w:themeFill="accent1" w:themeFillTint="99"/>
          </w:tcPr>
          <w:p w14:paraId="32E9D6D2" w14:textId="77777777" w:rsidR="00546CB4" w:rsidRPr="00546CB4" w:rsidRDefault="00A9558E" w:rsidP="009352B7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gramStart"/>
            <w:r w:rsidRPr="00A9558E">
              <w:rPr>
                <w:b/>
                <w:color w:val="FFFFFF" w:themeColor="background1"/>
                <w:sz w:val="36"/>
                <w:szCs w:val="36"/>
              </w:rPr>
              <w:t>1.16  Classification</w:t>
            </w:r>
            <w:proofErr w:type="gramEnd"/>
            <w:r w:rsidRPr="00A9558E">
              <w:rPr>
                <w:b/>
                <w:color w:val="FFFFFF" w:themeColor="background1"/>
                <w:sz w:val="36"/>
                <w:szCs w:val="36"/>
              </w:rPr>
              <w:t xml:space="preserve"> of Explosive Hazardous areas</w:t>
            </w:r>
          </w:p>
        </w:tc>
      </w:tr>
      <w:tr w:rsidR="00546CB4" w14:paraId="32E9D6D6" w14:textId="77777777" w:rsidTr="00C05922">
        <w:tc>
          <w:tcPr>
            <w:tcW w:w="2263" w:type="dxa"/>
          </w:tcPr>
          <w:p w14:paraId="32E9D6D4" w14:textId="77777777" w:rsidR="00546CB4" w:rsidRPr="00293D65" w:rsidRDefault="00546CB4" w:rsidP="00546CB4">
            <w:pPr>
              <w:jc w:val="right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Level</w:t>
            </w:r>
          </w:p>
        </w:tc>
        <w:tc>
          <w:tcPr>
            <w:tcW w:w="7343" w:type="dxa"/>
          </w:tcPr>
          <w:p w14:paraId="32E9D6D5" w14:textId="78331B3A" w:rsidR="00546CB4" w:rsidRPr="00293D65" w:rsidRDefault="00A9558E" w:rsidP="00A9558E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3</w:t>
            </w:r>
          </w:p>
        </w:tc>
      </w:tr>
      <w:tr w:rsidR="00546CB4" w14:paraId="32E9D6D9" w14:textId="77777777" w:rsidTr="00C05922">
        <w:tc>
          <w:tcPr>
            <w:tcW w:w="2263" w:type="dxa"/>
          </w:tcPr>
          <w:p w14:paraId="32E9D6D7" w14:textId="77777777" w:rsidR="00546CB4" w:rsidRPr="00293D65" w:rsidRDefault="00546CB4" w:rsidP="00546CB4">
            <w:pPr>
              <w:jc w:val="right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Duration</w:t>
            </w:r>
          </w:p>
        </w:tc>
        <w:tc>
          <w:tcPr>
            <w:tcW w:w="7343" w:type="dxa"/>
          </w:tcPr>
          <w:p w14:paraId="32E9D6D8" w14:textId="4A75979A" w:rsidR="00546CB4" w:rsidRPr="00293D65" w:rsidRDefault="00AF6ADA" w:rsidP="00AF6ADA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 xml:space="preserve">Minimum </w:t>
            </w:r>
            <w:r w:rsidR="003D7BCB">
              <w:rPr>
                <w:sz w:val="24"/>
                <w:szCs w:val="24"/>
              </w:rPr>
              <w:t>1</w:t>
            </w:r>
            <w:r w:rsidRPr="00293D65">
              <w:rPr>
                <w:sz w:val="24"/>
                <w:szCs w:val="24"/>
              </w:rPr>
              <w:t xml:space="preserve">2 </w:t>
            </w:r>
            <w:r w:rsidR="003D7BCB">
              <w:rPr>
                <w:sz w:val="24"/>
                <w:szCs w:val="24"/>
              </w:rPr>
              <w:t>Hours</w:t>
            </w:r>
            <w:r w:rsidR="0044617C" w:rsidRPr="00293D65">
              <w:rPr>
                <w:sz w:val="24"/>
                <w:szCs w:val="24"/>
              </w:rPr>
              <w:t xml:space="preserve"> </w:t>
            </w:r>
          </w:p>
        </w:tc>
      </w:tr>
      <w:tr w:rsidR="00546CB4" w14:paraId="32E9D6DC" w14:textId="77777777" w:rsidTr="00C05922">
        <w:tc>
          <w:tcPr>
            <w:tcW w:w="2263" w:type="dxa"/>
          </w:tcPr>
          <w:p w14:paraId="32E9D6DA" w14:textId="77777777" w:rsidR="00546CB4" w:rsidRPr="00293D65" w:rsidRDefault="00546CB4" w:rsidP="00546CB4">
            <w:pPr>
              <w:jc w:val="right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Credits / Points</w:t>
            </w:r>
          </w:p>
        </w:tc>
        <w:tc>
          <w:tcPr>
            <w:tcW w:w="7343" w:type="dxa"/>
          </w:tcPr>
          <w:p w14:paraId="32E9D6DB" w14:textId="77777777" w:rsidR="00546CB4" w:rsidRPr="00293D65" w:rsidRDefault="00AF6ADA" w:rsidP="00242D99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12</w:t>
            </w:r>
          </w:p>
        </w:tc>
      </w:tr>
      <w:tr w:rsidR="00546CB4" w14:paraId="32E9D6DF" w14:textId="77777777" w:rsidTr="00C05922">
        <w:tc>
          <w:tcPr>
            <w:tcW w:w="2263" w:type="dxa"/>
          </w:tcPr>
          <w:p w14:paraId="32E9D6DD" w14:textId="77777777" w:rsidR="00546CB4" w:rsidRPr="00293D65" w:rsidRDefault="00546CB4" w:rsidP="00546CB4">
            <w:pPr>
              <w:jc w:val="right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Aim</w:t>
            </w:r>
          </w:p>
        </w:tc>
        <w:tc>
          <w:tcPr>
            <w:tcW w:w="7343" w:type="dxa"/>
          </w:tcPr>
          <w:p w14:paraId="32E9D6DE" w14:textId="120BA9A1" w:rsidR="00546CB4" w:rsidRPr="00293D65" w:rsidRDefault="00A9558E" w:rsidP="002B5A9F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 xml:space="preserve">To provide </w:t>
            </w:r>
            <w:r w:rsidR="00C05922" w:rsidRPr="00293D65">
              <w:rPr>
                <w:sz w:val="24"/>
                <w:szCs w:val="24"/>
              </w:rPr>
              <w:t xml:space="preserve">learners </w:t>
            </w:r>
            <w:r w:rsidRPr="00293D65">
              <w:rPr>
                <w:sz w:val="24"/>
                <w:szCs w:val="24"/>
              </w:rPr>
              <w:t>with knowledge of how to establish a classification plan according to internat</w:t>
            </w:r>
            <w:r w:rsidR="00D658BC" w:rsidRPr="00293D65">
              <w:rPr>
                <w:sz w:val="24"/>
                <w:szCs w:val="24"/>
              </w:rPr>
              <w:t>ional standards and regulations</w:t>
            </w:r>
          </w:p>
        </w:tc>
      </w:tr>
      <w:tr w:rsidR="00546CB4" w14:paraId="32E9D6E2" w14:textId="77777777" w:rsidTr="00C05922">
        <w:tc>
          <w:tcPr>
            <w:tcW w:w="2263" w:type="dxa"/>
          </w:tcPr>
          <w:p w14:paraId="32E9D6E0" w14:textId="77777777" w:rsidR="00546CB4" w:rsidRPr="00293D65" w:rsidRDefault="00546CB4" w:rsidP="00546CB4">
            <w:pPr>
              <w:jc w:val="right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Target Public</w:t>
            </w:r>
          </w:p>
        </w:tc>
        <w:tc>
          <w:tcPr>
            <w:tcW w:w="7343" w:type="dxa"/>
          </w:tcPr>
          <w:p w14:paraId="32E9D6E1" w14:textId="7DBE5A93" w:rsidR="00546CB4" w:rsidRPr="00293D65" w:rsidRDefault="00A9558E" w:rsidP="00A9558E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Individuals who will establish and review classification plans. For example</w:t>
            </w:r>
            <w:r w:rsidR="00293D65">
              <w:rPr>
                <w:sz w:val="24"/>
                <w:szCs w:val="24"/>
              </w:rPr>
              <w:t>,</w:t>
            </w:r>
            <w:r w:rsidRPr="00293D65">
              <w:rPr>
                <w:sz w:val="24"/>
                <w:szCs w:val="24"/>
              </w:rPr>
              <w:t xml:space="preserve"> risk engineers at process plants or consultants w</w:t>
            </w:r>
            <w:r w:rsidR="00CA04E8" w:rsidRPr="00293D65">
              <w:rPr>
                <w:sz w:val="24"/>
                <w:szCs w:val="24"/>
              </w:rPr>
              <w:t>orking with risk identification,</w:t>
            </w:r>
            <w:r w:rsidRPr="00293D65">
              <w:rPr>
                <w:sz w:val="24"/>
                <w:szCs w:val="24"/>
              </w:rPr>
              <w:t xml:space="preserve"> </w:t>
            </w:r>
            <w:r w:rsidR="00CA04E8" w:rsidRPr="00293D65">
              <w:rPr>
                <w:sz w:val="24"/>
                <w:szCs w:val="24"/>
              </w:rPr>
              <w:t>c</w:t>
            </w:r>
            <w:r w:rsidRPr="00293D65">
              <w:rPr>
                <w:sz w:val="24"/>
                <w:szCs w:val="24"/>
              </w:rPr>
              <w:t>onsultan</w:t>
            </w:r>
            <w:r w:rsidR="00CA04E8" w:rsidRPr="00293D65">
              <w:rPr>
                <w:sz w:val="24"/>
                <w:szCs w:val="24"/>
              </w:rPr>
              <w:t>ts in the ATEX work area, c</w:t>
            </w:r>
            <w:r w:rsidRPr="00293D65">
              <w:rPr>
                <w:sz w:val="24"/>
                <w:szCs w:val="24"/>
              </w:rPr>
              <w:t>ontractors dealing with occasional work in hazardous areas</w:t>
            </w:r>
          </w:p>
        </w:tc>
      </w:tr>
      <w:tr w:rsidR="00546CB4" w14:paraId="32E9D6E5" w14:textId="77777777" w:rsidTr="00C05922">
        <w:tc>
          <w:tcPr>
            <w:tcW w:w="2263" w:type="dxa"/>
          </w:tcPr>
          <w:p w14:paraId="32E9D6E3" w14:textId="77777777" w:rsidR="00546CB4" w:rsidRPr="00293D65" w:rsidRDefault="00546CB4" w:rsidP="00546CB4">
            <w:pPr>
              <w:jc w:val="right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Prerequisites</w:t>
            </w:r>
          </w:p>
        </w:tc>
        <w:tc>
          <w:tcPr>
            <w:tcW w:w="7343" w:type="dxa"/>
          </w:tcPr>
          <w:p w14:paraId="32E9D6E4" w14:textId="7E5EBAE0" w:rsidR="00546CB4" w:rsidRPr="00293D65" w:rsidRDefault="00A9558E" w:rsidP="00A9558E">
            <w:pPr>
              <w:tabs>
                <w:tab w:val="left" w:pos="1127"/>
              </w:tabs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 xml:space="preserve">Basic knowledge of the characteristics of flammable dust, </w:t>
            </w:r>
            <w:proofErr w:type="gramStart"/>
            <w:r w:rsidRPr="00293D65">
              <w:rPr>
                <w:sz w:val="24"/>
                <w:szCs w:val="24"/>
              </w:rPr>
              <w:t>liquids</w:t>
            </w:r>
            <w:proofErr w:type="gramEnd"/>
            <w:r w:rsidRPr="00293D65">
              <w:rPr>
                <w:sz w:val="24"/>
                <w:szCs w:val="24"/>
              </w:rPr>
              <w:t xml:space="preserve"> and gases. Knowledge in the physics of fire and explosions. Basic knowledge in </w:t>
            </w:r>
            <w:r w:rsidR="00D658BC" w:rsidRPr="00293D65">
              <w:rPr>
                <w:sz w:val="24"/>
                <w:szCs w:val="24"/>
              </w:rPr>
              <w:t>the ignition process</w:t>
            </w:r>
          </w:p>
        </w:tc>
      </w:tr>
      <w:tr w:rsidR="00546CB4" w14:paraId="32E9D6E8" w14:textId="77777777" w:rsidTr="00C05922">
        <w:tc>
          <w:tcPr>
            <w:tcW w:w="2263" w:type="dxa"/>
          </w:tcPr>
          <w:p w14:paraId="32E9D6E6" w14:textId="77777777" w:rsidR="00546CB4" w:rsidRPr="00293D65" w:rsidRDefault="00546CB4" w:rsidP="00546CB4">
            <w:pPr>
              <w:jc w:val="right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Progression</w:t>
            </w:r>
          </w:p>
        </w:tc>
        <w:tc>
          <w:tcPr>
            <w:tcW w:w="7343" w:type="dxa"/>
          </w:tcPr>
          <w:p w14:paraId="32E9D6E7" w14:textId="396BCB65" w:rsidR="00546CB4" w:rsidRPr="00293D65" w:rsidRDefault="003D7BCB" w:rsidP="00242D99">
            <w:pPr>
              <w:jc w:val="both"/>
              <w:rPr>
                <w:sz w:val="24"/>
                <w:szCs w:val="24"/>
              </w:rPr>
            </w:pPr>
            <w:r w:rsidRPr="00F77148">
              <w:rPr>
                <w:sz w:val="24"/>
                <w:szCs w:val="24"/>
              </w:rPr>
              <w:t>Courses from the CFPA qualifications framework</w:t>
            </w:r>
            <w:r>
              <w:rPr>
                <w:sz w:val="24"/>
                <w:szCs w:val="24"/>
              </w:rPr>
              <w:t>.</w:t>
            </w:r>
          </w:p>
        </w:tc>
      </w:tr>
      <w:tr w:rsidR="00546CB4" w14:paraId="32E9D6EA" w14:textId="77777777" w:rsidTr="00C05922">
        <w:tc>
          <w:tcPr>
            <w:tcW w:w="9606" w:type="dxa"/>
            <w:gridSpan w:val="2"/>
            <w:shd w:val="clear" w:color="auto" w:fill="9CC2E5" w:themeFill="accent1" w:themeFillTint="99"/>
          </w:tcPr>
          <w:p w14:paraId="32E9D6E9" w14:textId="77777777" w:rsidR="00546CB4" w:rsidRPr="00293D65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32E9D6ED" w14:textId="77777777" w:rsidTr="00C05922">
        <w:tc>
          <w:tcPr>
            <w:tcW w:w="2263" w:type="dxa"/>
          </w:tcPr>
          <w:p w14:paraId="32E9D6EB" w14:textId="4C7F6150" w:rsidR="00546CB4" w:rsidRPr="00293D65" w:rsidRDefault="00546CB4" w:rsidP="00546CB4">
            <w:pPr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Learning Outcomes</w:t>
            </w:r>
          </w:p>
        </w:tc>
        <w:tc>
          <w:tcPr>
            <w:tcW w:w="7343" w:type="dxa"/>
          </w:tcPr>
          <w:p w14:paraId="32E9D6EC" w14:textId="3729BC9B" w:rsidR="00546CB4" w:rsidRPr="00293D65" w:rsidRDefault="00BE287B" w:rsidP="00242D99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Upon successful completion of the course l</w:t>
            </w:r>
            <w:r w:rsidR="00242D99" w:rsidRPr="00293D65">
              <w:rPr>
                <w:sz w:val="24"/>
                <w:szCs w:val="24"/>
              </w:rPr>
              <w:t>earners will be able to:</w:t>
            </w:r>
          </w:p>
        </w:tc>
      </w:tr>
      <w:tr w:rsidR="00546CB4" w14:paraId="32E9D6F0" w14:textId="77777777" w:rsidTr="00C05922">
        <w:tc>
          <w:tcPr>
            <w:tcW w:w="2263" w:type="dxa"/>
          </w:tcPr>
          <w:p w14:paraId="32E9D6EE" w14:textId="77777777" w:rsidR="00546CB4" w:rsidRPr="00293D65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32E9D6EF" w14:textId="2358C84D" w:rsidR="00546CB4" w:rsidRPr="00293D65" w:rsidRDefault="00D31F05" w:rsidP="00407F57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Appraise the requirements of d</w:t>
            </w:r>
            <w:r w:rsidR="00407F57" w:rsidRPr="00293D65">
              <w:rPr>
                <w:sz w:val="24"/>
                <w:szCs w:val="24"/>
              </w:rPr>
              <w:t>angerous substances and explosive atmosphere regulations</w:t>
            </w:r>
          </w:p>
        </w:tc>
      </w:tr>
      <w:tr w:rsidR="00407F57" w14:paraId="32E9D6F3" w14:textId="77777777" w:rsidTr="00C05922">
        <w:tc>
          <w:tcPr>
            <w:tcW w:w="2263" w:type="dxa"/>
          </w:tcPr>
          <w:p w14:paraId="32E9D6F1" w14:textId="77777777" w:rsidR="00407F57" w:rsidRPr="00293D65" w:rsidRDefault="00407F57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57139E4B" w14:textId="77777777" w:rsidR="00D31F05" w:rsidRPr="00293D65" w:rsidRDefault="00D31F05" w:rsidP="00407F57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Organise u</w:t>
            </w:r>
            <w:r w:rsidR="00407F57" w:rsidRPr="00293D65">
              <w:rPr>
                <w:sz w:val="24"/>
                <w:szCs w:val="24"/>
              </w:rPr>
              <w:t>se</w:t>
            </w:r>
            <w:r w:rsidRPr="00293D65">
              <w:rPr>
                <w:sz w:val="24"/>
                <w:szCs w:val="24"/>
              </w:rPr>
              <w:t xml:space="preserve"> </w:t>
            </w:r>
            <w:r w:rsidR="00407F57" w:rsidRPr="00293D65">
              <w:rPr>
                <w:sz w:val="24"/>
                <w:szCs w:val="24"/>
              </w:rPr>
              <w:t>of flammable or explosive substances</w:t>
            </w:r>
          </w:p>
          <w:p w14:paraId="32E9D6F2" w14:textId="73DC304E" w:rsidR="00407F57" w:rsidRPr="00293D65" w:rsidRDefault="00D31F05" w:rsidP="00407F57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 xml:space="preserve">Distinguish between their properties </w:t>
            </w:r>
          </w:p>
        </w:tc>
      </w:tr>
      <w:tr w:rsidR="00407F57" w14:paraId="32E9D6F6" w14:textId="77777777" w:rsidTr="00C05922">
        <w:tc>
          <w:tcPr>
            <w:tcW w:w="2263" w:type="dxa"/>
          </w:tcPr>
          <w:p w14:paraId="32E9D6F4" w14:textId="77777777" w:rsidR="00407F57" w:rsidRPr="00293D65" w:rsidRDefault="00407F57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32E9D6F5" w14:textId="0F2219E4" w:rsidR="00407F57" w:rsidRPr="00293D65" w:rsidRDefault="00D31F05" w:rsidP="00407F57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Compare and c</w:t>
            </w:r>
            <w:r w:rsidR="00407F57" w:rsidRPr="00293D65">
              <w:rPr>
                <w:sz w:val="24"/>
                <w:szCs w:val="24"/>
              </w:rPr>
              <w:t>ontrast the properties of flammable or explosive substances</w:t>
            </w:r>
          </w:p>
        </w:tc>
      </w:tr>
      <w:tr w:rsidR="00546CB4" w14:paraId="32E9D6F9" w14:textId="77777777" w:rsidTr="00C05922">
        <w:tc>
          <w:tcPr>
            <w:tcW w:w="2263" w:type="dxa"/>
          </w:tcPr>
          <w:p w14:paraId="32E9D6F7" w14:textId="77777777" w:rsidR="00546CB4" w:rsidRPr="00293D65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32E9D6F8" w14:textId="208787D0" w:rsidR="00546CB4" w:rsidRPr="00293D65" w:rsidRDefault="00D31F05" w:rsidP="00242D99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 xml:space="preserve">Structure the </w:t>
            </w:r>
            <w:r w:rsidR="00407F57" w:rsidRPr="00293D65">
              <w:rPr>
                <w:sz w:val="24"/>
                <w:szCs w:val="24"/>
              </w:rPr>
              <w:t>prevent</w:t>
            </w:r>
            <w:r w:rsidRPr="00293D65">
              <w:rPr>
                <w:sz w:val="24"/>
                <w:szCs w:val="24"/>
              </w:rPr>
              <w:t>ion or mitigation</w:t>
            </w:r>
            <w:r w:rsidR="00407F57" w:rsidRPr="00293D65">
              <w:rPr>
                <w:sz w:val="24"/>
                <w:szCs w:val="24"/>
              </w:rPr>
              <w:t xml:space="preserve"> </w:t>
            </w:r>
            <w:r w:rsidRPr="00293D65">
              <w:rPr>
                <w:sz w:val="24"/>
                <w:szCs w:val="24"/>
              </w:rPr>
              <w:t xml:space="preserve">of </w:t>
            </w:r>
            <w:r w:rsidR="00407F57" w:rsidRPr="00293D65">
              <w:rPr>
                <w:sz w:val="24"/>
                <w:szCs w:val="24"/>
              </w:rPr>
              <w:t>any fire or explosion caused by properties of flammable or explosive substances</w:t>
            </w:r>
          </w:p>
        </w:tc>
      </w:tr>
      <w:tr w:rsidR="00546CB4" w14:paraId="32E9D6FC" w14:textId="77777777" w:rsidTr="00C05922">
        <w:tc>
          <w:tcPr>
            <w:tcW w:w="2263" w:type="dxa"/>
          </w:tcPr>
          <w:p w14:paraId="32E9D6FA" w14:textId="77777777" w:rsidR="00546CB4" w:rsidRPr="00293D65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32E9D6FB" w14:textId="2F30C861" w:rsidR="00546CB4" w:rsidRPr="00293D65" w:rsidRDefault="00407F57" w:rsidP="008D33EC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Distinguish the effects of different explosions and how the</w:t>
            </w:r>
            <w:r w:rsidR="00D658BC" w:rsidRPr="00293D65">
              <w:rPr>
                <w:sz w:val="24"/>
                <w:szCs w:val="24"/>
              </w:rPr>
              <w:t>y might be controlled</w:t>
            </w:r>
          </w:p>
        </w:tc>
      </w:tr>
      <w:tr w:rsidR="00546CB4" w14:paraId="32E9D6FF" w14:textId="77777777" w:rsidTr="00C05922">
        <w:tc>
          <w:tcPr>
            <w:tcW w:w="2263" w:type="dxa"/>
          </w:tcPr>
          <w:p w14:paraId="32E9D6FD" w14:textId="77777777" w:rsidR="00546CB4" w:rsidRPr="00293D65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32E9D6FE" w14:textId="6B9F6DA5" w:rsidR="00546CB4" w:rsidRPr="00293D65" w:rsidRDefault="00D31F05" w:rsidP="00407F57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 xml:space="preserve">Select, </w:t>
            </w:r>
            <w:proofErr w:type="gramStart"/>
            <w:r w:rsidR="00A5610F" w:rsidRPr="00293D65">
              <w:rPr>
                <w:sz w:val="24"/>
                <w:szCs w:val="24"/>
              </w:rPr>
              <w:t>c</w:t>
            </w:r>
            <w:r w:rsidR="00407F57" w:rsidRPr="00293D65">
              <w:rPr>
                <w:sz w:val="24"/>
                <w:szCs w:val="24"/>
              </w:rPr>
              <w:t>lassify</w:t>
            </w:r>
            <w:proofErr w:type="gramEnd"/>
            <w:r w:rsidR="00407F57" w:rsidRPr="00293D65">
              <w:rPr>
                <w:sz w:val="24"/>
                <w:szCs w:val="24"/>
              </w:rPr>
              <w:t xml:space="preserve"> and </w:t>
            </w:r>
            <w:r w:rsidR="00A5610F" w:rsidRPr="00293D65">
              <w:rPr>
                <w:sz w:val="24"/>
                <w:szCs w:val="24"/>
              </w:rPr>
              <w:t xml:space="preserve">formulate actions to </w:t>
            </w:r>
            <w:r w:rsidR="00407F57" w:rsidRPr="00293D65">
              <w:rPr>
                <w:sz w:val="24"/>
                <w:szCs w:val="24"/>
              </w:rPr>
              <w:t>reduce hazards</w:t>
            </w:r>
          </w:p>
        </w:tc>
      </w:tr>
      <w:tr w:rsidR="0025596D" w14:paraId="32E9D702" w14:textId="77777777" w:rsidTr="00C05922">
        <w:tc>
          <w:tcPr>
            <w:tcW w:w="2263" w:type="dxa"/>
          </w:tcPr>
          <w:p w14:paraId="32E9D700" w14:textId="77777777" w:rsidR="0025596D" w:rsidRPr="00293D65" w:rsidRDefault="0025596D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32E9D701" w14:textId="4E109856" w:rsidR="002B5A9F" w:rsidRPr="00293D65" w:rsidRDefault="00A5610F" w:rsidP="00407F57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Appraise methods for selection of appropriate</w:t>
            </w:r>
            <w:r w:rsidR="00407F57" w:rsidRPr="00293D65">
              <w:rPr>
                <w:sz w:val="24"/>
                <w:szCs w:val="24"/>
              </w:rPr>
              <w:t xml:space="preserve"> equipment, </w:t>
            </w:r>
            <w:proofErr w:type="gramStart"/>
            <w:r w:rsidR="00407F57" w:rsidRPr="00293D65">
              <w:rPr>
                <w:sz w:val="24"/>
                <w:szCs w:val="24"/>
              </w:rPr>
              <w:t>protection</w:t>
            </w:r>
            <w:proofErr w:type="gramEnd"/>
            <w:r w:rsidR="00407F57" w:rsidRPr="00293D65">
              <w:rPr>
                <w:sz w:val="24"/>
                <w:szCs w:val="24"/>
              </w:rPr>
              <w:t xml:space="preserve"> and control </w:t>
            </w:r>
            <w:r w:rsidR="00D658BC" w:rsidRPr="00293D65">
              <w:rPr>
                <w:sz w:val="24"/>
                <w:szCs w:val="24"/>
              </w:rPr>
              <w:t>systems</w:t>
            </w:r>
          </w:p>
        </w:tc>
      </w:tr>
      <w:tr w:rsidR="00AF6ADA" w14:paraId="32E9D705" w14:textId="77777777" w:rsidTr="00C05922">
        <w:tc>
          <w:tcPr>
            <w:tcW w:w="2263" w:type="dxa"/>
          </w:tcPr>
          <w:p w14:paraId="32E9D703" w14:textId="77777777" w:rsidR="00AF6ADA" w:rsidRPr="00293D65" w:rsidRDefault="00AF6ADA" w:rsidP="00546CB4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32E9D704" w14:textId="3CF66147" w:rsidR="00AF6ADA" w:rsidRPr="00293D65" w:rsidRDefault="00A5610F" w:rsidP="00407F57">
            <w:pPr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 xml:space="preserve">Organise </w:t>
            </w:r>
            <w:r w:rsidR="00407F57" w:rsidRPr="00293D65">
              <w:rPr>
                <w:sz w:val="24"/>
                <w:szCs w:val="24"/>
              </w:rPr>
              <w:t xml:space="preserve">correct storage and maintenance </w:t>
            </w:r>
          </w:p>
        </w:tc>
      </w:tr>
      <w:tr w:rsidR="00546CB4" w14:paraId="32E9D707" w14:textId="77777777" w:rsidTr="00C05922">
        <w:tc>
          <w:tcPr>
            <w:tcW w:w="9606" w:type="dxa"/>
            <w:gridSpan w:val="2"/>
            <w:shd w:val="clear" w:color="auto" w:fill="9CC2E5" w:themeFill="accent1" w:themeFillTint="99"/>
          </w:tcPr>
          <w:p w14:paraId="32E9D706" w14:textId="77777777" w:rsidR="00546CB4" w:rsidRPr="00293D65" w:rsidRDefault="00546CB4" w:rsidP="00242D99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32E9D70A" w14:textId="77777777" w:rsidTr="00C05922">
        <w:tc>
          <w:tcPr>
            <w:tcW w:w="2263" w:type="dxa"/>
          </w:tcPr>
          <w:p w14:paraId="32E9D708" w14:textId="77777777" w:rsidR="00546CB4" w:rsidRPr="00293D65" w:rsidRDefault="00546CB4" w:rsidP="00546CB4">
            <w:pPr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Related Guidelines</w:t>
            </w:r>
          </w:p>
        </w:tc>
        <w:tc>
          <w:tcPr>
            <w:tcW w:w="7343" w:type="dxa"/>
          </w:tcPr>
          <w:p w14:paraId="32E9D709" w14:textId="255021A7" w:rsidR="00546CB4" w:rsidRPr="00293D65" w:rsidRDefault="00AF6ADA" w:rsidP="00242D99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1 F; 11</w:t>
            </w:r>
            <w:r w:rsidR="00FC0B28">
              <w:rPr>
                <w:sz w:val="24"/>
                <w:szCs w:val="24"/>
              </w:rPr>
              <w:t xml:space="preserve"> </w:t>
            </w:r>
            <w:r w:rsidRPr="00293D65">
              <w:rPr>
                <w:sz w:val="24"/>
                <w:szCs w:val="24"/>
              </w:rPr>
              <w:t>F</w:t>
            </w:r>
          </w:p>
        </w:tc>
      </w:tr>
      <w:tr w:rsidR="00546CB4" w14:paraId="32E9D70D" w14:textId="77777777" w:rsidTr="00C05922">
        <w:tc>
          <w:tcPr>
            <w:tcW w:w="2263" w:type="dxa"/>
          </w:tcPr>
          <w:p w14:paraId="32E9D70B" w14:textId="77777777" w:rsidR="00546CB4" w:rsidRPr="00293D65" w:rsidRDefault="00546CB4" w:rsidP="00546CB4">
            <w:pPr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343" w:type="dxa"/>
          </w:tcPr>
          <w:p w14:paraId="32E9D70C" w14:textId="4DCAF2DD" w:rsidR="00546CB4" w:rsidRPr="00293D65" w:rsidRDefault="003D7BCB" w:rsidP="003D7B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BCB">
              <w:rPr>
                <w:rFonts w:cs="Segoe UI"/>
                <w:color w:val="000000"/>
                <w:sz w:val="24"/>
                <w:szCs w:val="24"/>
              </w:rPr>
              <w:t xml:space="preserve">A practical and/or written assessment </w:t>
            </w:r>
            <w:r w:rsidR="00F33BE6" w:rsidRPr="00B63FAA">
              <w:rPr>
                <w:sz w:val="24"/>
                <w:szCs w:val="24"/>
              </w:rPr>
              <w:t xml:space="preserve">in the area </w:t>
            </w:r>
            <w:r w:rsidR="00F33BE6">
              <w:rPr>
                <w:sz w:val="24"/>
                <w:szCs w:val="24"/>
              </w:rPr>
              <w:t>that is designed for</w:t>
            </w:r>
            <w:r w:rsidR="00F33BE6" w:rsidRPr="00B63FAA">
              <w:rPr>
                <w:sz w:val="24"/>
                <w:szCs w:val="24"/>
              </w:rPr>
              <w:t xml:space="preserve"> one hour in duration</w:t>
            </w:r>
          </w:p>
        </w:tc>
      </w:tr>
      <w:tr w:rsidR="00546CB4" w14:paraId="32E9D711" w14:textId="77777777" w:rsidTr="00C05922">
        <w:tc>
          <w:tcPr>
            <w:tcW w:w="2263" w:type="dxa"/>
          </w:tcPr>
          <w:p w14:paraId="32E9D70E" w14:textId="77777777" w:rsidR="00546CB4" w:rsidRPr="00293D65" w:rsidRDefault="00546CB4" w:rsidP="00546CB4">
            <w:pPr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Qualifications</w:t>
            </w:r>
          </w:p>
        </w:tc>
        <w:tc>
          <w:tcPr>
            <w:tcW w:w="7343" w:type="dxa"/>
          </w:tcPr>
          <w:p w14:paraId="32E9D70F" w14:textId="77777777" w:rsidR="002B5A9F" w:rsidRPr="00293D65" w:rsidRDefault="0044617C" w:rsidP="0044617C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>Certificate</w:t>
            </w:r>
          </w:p>
          <w:p w14:paraId="32E9D710" w14:textId="7ED81241" w:rsidR="00AF6ADA" w:rsidRPr="00293D65" w:rsidRDefault="00AF6ADA" w:rsidP="0044617C">
            <w:pPr>
              <w:jc w:val="both"/>
              <w:rPr>
                <w:sz w:val="24"/>
                <w:szCs w:val="24"/>
              </w:rPr>
            </w:pPr>
            <w:r w:rsidRPr="00293D65">
              <w:rPr>
                <w:sz w:val="24"/>
                <w:szCs w:val="24"/>
              </w:rPr>
              <w:t xml:space="preserve">Optional subtitle </w:t>
            </w:r>
            <w:r w:rsidRPr="003D7BCB">
              <w:rPr>
                <w:sz w:val="24"/>
                <w:szCs w:val="24"/>
              </w:rPr>
              <w:t>«</w:t>
            </w:r>
            <w:r w:rsidR="003D7BCB" w:rsidRPr="003D7BCB">
              <w:rPr>
                <w:rFonts w:cs="Segoe UI"/>
                <w:color w:val="000000"/>
                <w:sz w:val="24"/>
                <w:szCs w:val="24"/>
              </w:rPr>
              <w:t xml:space="preserve"> Classification of Explosive Hazardous Areas Officer CFPA-E</w:t>
            </w:r>
            <w:r w:rsidRPr="003D7BCB">
              <w:rPr>
                <w:sz w:val="24"/>
                <w:szCs w:val="24"/>
              </w:rPr>
              <w:t>»</w:t>
            </w:r>
          </w:p>
        </w:tc>
      </w:tr>
    </w:tbl>
    <w:p w14:paraId="32E9D712" w14:textId="77777777" w:rsidR="001A5A84" w:rsidRDefault="001A5A84" w:rsidP="00293D65">
      <w:pPr>
        <w:shd w:val="clear" w:color="auto" w:fill="9CC2E5" w:themeFill="accent1" w:themeFillTint="99"/>
        <w:ind w:right="-472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D715" w14:textId="77777777" w:rsidR="00473160" w:rsidRDefault="00473160" w:rsidP="00473160">
      <w:pPr>
        <w:spacing w:after="0" w:line="240" w:lineRule="auto"/>
      </w:pPr>
      <w:r>
        <w:separator/>
      </w:r>
    </w:p>
  </w:endnote>
  <w:endnote w:type="continuationSeparator" w:id="0">
    <w:p w14:paraId="32E9D716" w14:textId="77777777" w:rsidR="00473160" w:rsidRDefault="00473160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D71A" w14:textId="11097DE7" w:rsidR="00473160" w:rsidRDefault="00293D65">
    <w:pPr>
      <w:pStyle w:val="Alatunniste"/>
    </w:pPr>
    <w:r w:rsidRPr="00293D65">
      <w:t>CFPA-E 1.</w:t>
    </w:r>
    <w:r>
      <w:t>16</w:t>
    </w:r>
    <w:r w:rsidRPr="00293D65">
      <w:t xml:space="preserve"> </w:t>
    </w:r>
    <w:r>
      <w:t xml:space="preserve">Classification of Explosive Hazardous areas     </w:t>
    </w:r>
    <w:r w:rsidRPr="00293D65">
      <w:t xml:space="preserve">Risk Management </w:t>
    </w:r>
    <w:proofErr w:type="gramStart"/>
    <w:r w:rsidRPr="00293D65">
      <w:t>Group  Revision</w:t>
    </w:r>
    <w:proofErr w:type="gramEnd"/>
    <w:r w:rsidRPr="00293D65">
      <w:t xml:space="preserve"> 0 Version </w:t>
    </w:r>
    <w:r w:rsidR="00FC0B28">
      <w:t>5</w:t>
    </w:r>
    <w:r w:rsidR="003D7BCB">
      <w:t xml:space="preserve">  </w:t>
    </w:r>
    <w:r w:rsidR="00FC0B28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D713" w14:textId="77777777" w:rsidR="00473160" w:rsidRDefault="00473160" w:rsidP="00473160">
      <w:pPr>
        <w:spacing w:after="0" w:line="240" w:lineRule="auto"/>
      </w:pPr>
      <w:r>
        <w:separator/>
      </w:r>
    </w:p>
  </w:footnote>
  <w:footnote w:type="continuationSeparator" w:id="0">
    <w:p w14:paraId="32E9D714" w14:textId="77777777" w:rsidR="00473160" w:rsidRDefault="00473160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D718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9D71D" wp14:editId="32E9D71E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E9D721" w14:textId="77777777" w:rsidR="00A1169F" w:rsidRPr="00A1169F" w:rsidRDefault="00A1169F" w:rsidP="00A1169F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1169F">
                            <w:rPr>
                              <w:b/>
                              <w:sz w:val="28"/>
                              <w:szCs w:val="28"/>
                            </w:rPr>
                            <w:t>RISK MANAGEMENT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2E9D71D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" fillcolor="red" stroked="f">
              <v:shadow on="t" color="black" opacity="41287f" offset="0,1.5pt"/>
              <v:textbox>
                <w:txbxContent>
                  <w:p w14:paraId="32E9D721" w14:textId="77777777" w:rsidR="00A1169F" w:rsidRPr="00A1169F" w:rsidRDefault="00A1169F" w:rsidP="00A1169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1169F">
                      <w:rPr>
                        <w:b/>
                        <w:sz w:val="28"/>
                        <w:szCs w:val="28"/>
                      </w:rPr>
                      <w:t>RISK MANAGEMENT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2E9D71F" wp14:editId="32E9D720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14368A"/>
    <w:rsid w:val="001A5A84"/>
    <w:rsid w:val="00242D99"/>
    <w:rsid w:val="002535B0"/>
    <w:rsid w:val="0025596D"/>
    <w:rsid w:val="00293D65"/>
    <w:rsid w:val="002B5A9F"/>
    <w:rsid w:val="003D7BCB"/>
    <w:rsid w:val="00407F57"/>
    <w:rsid w:val="00434142"/>
    <w:rsid w:val="0044617C"/>
    <w:rsid w:val="00473160"/>
    <w:rsid w:val="00473742"/>
    <w:rsid w:val="004F2E1F"/>
    <w:rsid w:val="00546CB4"/>
    <w:rsid w:val="00653531"/>
    <w:rsid w:val="0072325F"/>
    <w:rsid w:val="00880828"/>
    <w:rsid w:val="008D33EC"/>
    <w:rsid w:val="009352B7"/>
    <w:rsid w:val="009A20E0"/>
    <w:rsid w:val="00A1169F"/>
    <w:rsid w:val="00A5610F"/>
    <w:rsid w:val="00A9558E"/>
    <w:rsid w:val="00AB2F94"/>
    <w:rsid w:val="00AF6ADA"/>
    <w:rsid w:val="00BE287B"/>
    <w:rsid w:val="00BF79DE"/>
    <w:rsid w:val="00C05922"/>
    <w:rsid w:val="00CA04E8"/>
    <w:rsid w:val="00D31F05"/>
    <w:rsid w:val="00D658BC"/>
    <w:rsid w:val="00F33BE6"/>
    <w:rsid w:val="00F45CB9"/>
    <w:rsid w:val="00F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E9D6D2"/>
  <w15:docId w15:val="{C603CB01-7808-4DAB-80AA-78901B40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BE287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E287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E287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E287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E28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76D48-3B8D-46B5-877F-96C6D26AE1E6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6BBE66CB-06A6-4A4E-9378-FC5D3C900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C7EC7-4EE9-4D09-AD12-67541C695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191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5</cp:revision>
  <dcterms:created xsi:type="dcterms:W3CDTF">2024-11-28T15:13:00Z</dcterms:created>
  <dcterms:modified xsi:type="dcterms:W3CDTF">2024-12-05T10:50:00Z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