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27DD" w14:textId="41F27D55" w:rsidR="002C13D9" w:rsidRDefault="00EE39A2" w:rsidP="002C13D9">
      <w:pPr>
        <w:rPr>
          <w:rFonts w:cs="Arial"/>
          <w:sz w:val="24"/>
          <w:szCs w:val="24"/>
        </w:rPr>
      </w:pPr>
      <w:r w:rsidRPr="00EE39A2">
        <w:rPr>
          <w:rFonts w:cs="Arial"/>
          <w:noProof/>
          <w:sz w:val="24"/>
          <w:szCs w:val="24"/>
          <w:lang w:val="de-DE"/>
        </w:rPr>
        <mc:AlternateContent>
          <mc:Choice Requires="wps">
            <w:drawing>
              <wp:anchor distT="45720" distB="45720" distL="114300" distR="114300" simplePos="0" relativeHeight="251659264" behindDoc="1" locked="0" layoutInCell="1" allowOverlap="1" wp14:anchorId="0F3819AE" wp14:editId="767601F7">
                <wp:simplePos x="0" y="0"/>
                <wp:positionH relativeFrom="column">
                  <wp:posOffset>5446250</wp:posOffset>
                </wp:positionH>
                <wp:positionV relativeFrom="paragraph">
                  <wp:posOffset>-467235</wp:posOffset>
                </wp:positionV>
                <wp:extent cx="822785" cy="1404620"/>
                <wp:effectExtent l="0" t="0" r="1587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785" cy="1404620"/>
                        </a:xfrm>
                        <a:prstGeom prst="rect">
                          <a:avLst/>
                        </a:prstGeom>
                        <a:solidFill>
                          <a:srgbClr val="FFFFFF"/>
                        </a:solidFill>
                        <a:ln w="9525">
                          <a:solidFill>
                            <a:srgbClr val="000000"/>
                          </a:solidFill>
                          <a:miter lim="800000"/>
                          <a:headEnd/>
                          <a:tailEnd/>
                        </a:ln>
                      </wps:spPr>
                      <wps:txbx>
                        <w:txbxContent>
                          <w:p w14:paraId="579FE86E" w14:textId="44DE9545" w:rsidR="00123A89" w:rsidRDefault="00C7015A">
                            <w:r>
                              <w:t>SC 2101</w:t>
                            </w:r>
                            <w:r w:rsidR="00123A89">
                              <w:t>4</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819AE" id="_x0000_t202" coordsize="21600,21600" o:spt="202" path="m,l,21600r21600,l21600,xe">
                <v:stroke joinstyle="miter"/>
                <v:path gradientshapeok="t" o:connecttype="rect"/>
              </v:shapetype>
              <v:shape id="Textfeld 2" o:spid="_x0000_s1026" type="#_x0000_t202" style="position:absolute;left:0;text-align:left;margin-left:428.85pt;margin-top:-36.8pt;width:64.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">
                <v:textbox style="mso-fit-shape-to-text:t">
                  <w:txbxContent>
                    <w:p w14:paraId="579FE86E" w14:textId="44DE9545" w:rsidR="00123A89" w:rsidRDefault="00C7015A">
                      <w:r>
                        <w:t>SC 2101</w:t>
                      </w:r>
                      <w:r w:rsidR="00123A89">
                        <w:t>4</w:t>
                      </w:r>
                      <w:bookmarkStart w:id="1" w:name="_GoBack"/>
                      <w:bookmarkEnd w:id="1"/>
                    </w:p>
                  </w:txbxContent>
                </v:textbox>
              </v:shape>
            </w:pict>
          </mc:Fallback>
        </mc:AlternateContent>
      </w:r>
      <w:r w:rsidR="002C13D9">
        <w:rPr>
          <w:noProof/>
          <w:lang w:val="de-DE"/>
        </w:rPr>
        <w:drawing>
          <wp:inline distT="0" distB="0" distL="0" distR="0" wp14:anchorId="3BE85B0B" wp14:editId="5BF9944E">
            <wp:extent cx="2076450" cy="487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667" cy="513632"/>
                    </a:xfrm>
                    <a:prstGeom prst="rect">
                      <a:avLst/>
                    </a:prstGeom>
                    <a:noFill/>
                    <a:ln>
                      <a:noFill/>
                    </a:ln>
                  </pic:spPr>
                </pic:pic>
              </a:graphicData>
            </a:graphic>
          </wp:inline>
        </w:drawing>
      </w:r>
      <w:r w:rsidR="002C13D9">
        <w:rPr>
          <w:rFonts w:cs="Arial"/>
          <w:sz w:val="24"/>
          <w:szCs w:val="24"/>
        </w:rPr>
        <w:tab/>
      </w:r>
      <w:r w:rsidR="00891C74">
        <w:rPr>
          <w:rFonts w:cs="Arial"/>
          <w:sz w:val="24"/>
          <w:szCs w:val="24"/>
        </w:rPr>
        <w:t>14</w:t>
      </w:r>
      <w:r w:rsidR="002C13D9">
        <w:rPr>
          <w:rFonts w:cs="Arial"/>
          <w:sz w:val="24"/>
          <w:szCs w:val="24"/>
        </w:rPr>
        <w:t>/7/2021 / Tommy A</w:t>
      </w:r>
    </w:p>
    <w:p w14:paraId="5F773268" w14:textId="77777777" w:rsidR="002C13D9" w:rsidRDefault="002C13D9" w:rsidP="002C13D9">
      <w:pPr>
        <w:rPr>
          <w:rFonts w:cs="Arial"/>
          <w:sz w:val="24"/>
          <w:szCs w:val="24"/>
          <w:u w:val="single"/>
        </w:rPr>
      </w:pPr>
    </w:p>
    <w:p w14:paraId="7AD5B9E9" w14:textId="648E8AB5" w:rsidR="002C13D9" w:rsidRPr="00F6059F" w:rsidRDefault="002C13D9" w:rsidP="002C13D9">
      <w:pPr>
        <w:rPr>
          <w:rFonts w:cs="Arial"/>
          <w:color w:val="FF0000"/>
          <w:sz w:val="24"/>
          <w:szCs w:val="24"/>
          <w:u w:val="single"/>
        </w:rPr>
      </w:pPr>
      <w:r w:rsidRPr="00F6059F">
        <w:rPr>
          <w:rFonts w:cs="Arial"/>
          <w:color w:val="FF0000"/>
          <w:sz w:val="24"/>
          <w:szCs w:val="24"/>
          <w:u w:val="single"/>
        </w:rPr>
        <w:t>MC</w:t>
      </w:r>
      <w:r w:rsidR="00891C74">
        <w:rPr>
          <w:rFonts w:cs="Arial"/>
          <w:color w:val="FF0000"/>
          <w:sz w:val="24"/>
          <w:szCs w:val="24"/>
          <w:u w:val="single"/>
        </w:rPr>
        <w:t>’s decision on 13 July about Foreword in Guidelines</w:t>
      </w:r>
    </w:p>
    <w:p w14:paraId="5B21D4AA" w14:textId="735E7A85" w:rsidR="002C13D9" w:rsidRPr="00F6059F" w:rsidRDefault="002C13D9" w:rsidP="002C13D9">
      <w:pPr>
        <w:rPr>
          <w:rFonts w:cs="Arial"/>
          <w:color w:val="FF0000"/>
          <w:sz w:val="24"/>
          <w:szCs w:val="24"/>
        </w:rPr>
      </w:pPr>
      <w:r w:rsidRPr="00F6059F">
        <w:rPr>
          <w:rFonts w:cs="Arial"/>
          <w:color w:val="FF0000"/>
          <w:sz w:val="24"/>
          <w:szCs w:val="24"/>
        </w:rPr>
        <w:t>The Management Committee decide</w:t>
      </w:r>
      <w:r w:rsidR="00891C74">
        <w:rPr>
          <w:rFonts w:cs="Arial"/>
          <w:color w:val="FF0000"/>
          <w:sz w:val="24"/>
          <w:szCs w:val="24"/>
        </w:rPr>
        <w:t>d</w:t>
      </w:r>
      <w:r w:rsidRPr="00F6059F">
        <w:rPr>
          <w:rFonts w:cs="Arial"/>
          <w:color w:val="FF0000"/>
          <w:sz w:val="24"/>
          <w:szCs w:val="24"/>
        </w:rPr>
        <w:t xml:space="preserve"> to recommend this </w:t>
      </w:r>
      <w:r>
        <w:rPr>
          <w:rFonts w:cs="Arial"/>
          <w:color w:val="FF0000"/>
          <w:sz w:val="24"/>
          <w:szCs w:val="24"/>
        </w:rPr>
        <w:t>“Foreword” in our</w:t>
      </w:r>
      <w:r w:rsidRPr="00F6059F">
        <w:rPr>
          <w:rFonts w:cs="Arial"/>
          <w:color w:val="FF0000"/>
          <w:sz w:val="24"/>
          <w:szCs w:val="24"/>
        </w:rPr>
        <w:t xml:space="preserve"> Guidelines.</w:t>
      </w:r>
      <w:r w:rsidR="00891C74">
        <w:rPr>
          <w:rFonts w:cs="Arial"/>
          <w:color w:val="FF0000"/>
          <w:sz w:val="24"/>
          <w:szCs w:val="24"/>
        </w:rPr>
        <w:t xml:space="preserve"> Only some few changes compared with the Foreword that the Security Commission decided about for some years ago.</w:t>
      </w:r>
    </w:p>
    <w:p w14:paraId="44B49761" w14:textId="6421CE5B" w:rsidR="00240907" w:rsidRDefault="00240907" w:rsidP="00240907">
      <w:pPr>
        <w:pStyle w:val="Titel"/>
      </w:pPr>
      <w:r>
        <w:t>Foreword</w:t>
      </w:r>
    </w:p>
    <w:p w14:paraId="5F204605" w14:textId="13DD80AD" w:rsidR="00240907" w:rsidRPr="00A96BD8" w:rsidRDefault="00240907" w:rsidP="00240907">
      <w:pPr>
        <w:spacing w:before="0" w:line="240" w:lineRule="auto"/>
        <w:jc w:val="left"/>
      </w:pPr>
      <w:r w:rsidRPr="00A96BD8">
        <w:t xml:space="preserve">CFPA Europe </w:t>
      </w:r>
      <w:r w:rsidR="004C1A94" w:rsidRPr="00A96BD8">
        <w:t xml:space="preserve">develops and publishes </w:t>
      </w:r>
      <w:r w:rsidRPr="00A96BD8">
        <w:t xml:space="preserve">common guidelines in order to achieve similar interpretation in the European countries and to give examples of acceptable solutions, concepts and models. CFPA Europe has the aim to facilitate and support fire protection, security and protection against natural hazards. </w:t>
      </w:r>
    </w:p>
    <w:p w14:paraId="742B093A" w14:textId="0795EE51" w:rsidR="00240907" w:rsidRPr="00A96BD8" w:rsidRDefault="00240907" w:rsidP="00240907">
      <w:pPr>
        <w:spacing w:before="0" w:line="240" w:lineRule="auto"/>
        <w:jc w:val="left"/>
      </w:pPr>
      <w:r w:rsidRPr="00A96BD8">
        <w:t>The market imposes new demands for quality and safety. Today, fire protection, security and protection against natural hazards form an integral part of a modern strategy for survival</w:t>
      </w:r>
      <w:r w:rsidR="001F2B0D" w:rsidRPr="00A96BD8">
        <w:t>, sustainability</w:t>
      </w:r>
      <w:r w:rsidRPr="00A96BD8">
        <w:t xml:space="preserve"> and competitiveness. </w:t>
      </w:r>
    </w:p>
    <w:p w14:paraId="320DE6FD" w14:textId="048B5F53" w:rsidR="00240907" w:rsidRPr="00A96BD8" w:rsidRDefault="00240907" w:rsidP="00240907">
      <w:pPr>
        <w:spacing w:before="0" w:line="240" w:lineRule="auto"/>
        <w:jc w:val="left"/>
      </w:pPr>
      <w:r w:rsidRPr="00A96BD8">
        <w:t>These Guidelines are primarily intended for the public. They are also aimed at rescue services,</w:t>
      </w:r>
      <w:r w:rsidR="0082168F" w:rsidRPr="00A96BD8">
        <w:t xml:space="preserve"> insurers,</w:t>
      </w:r>
      <w:r w:rsidRPr="00A96BD8">
        <w:t xml:space="preserve"> consultants, safety companies and the like so that, in the course of their work, they may be able to help manage risk in society. </w:t>
      </w:r>
    </w:p>
    <w:p w14:paraId="6525CABD" w14:textId="1DEBC4D8" w:rsidR="0069159B" w:rsidRPr="00A96BD8" w:rsidRDefault="0069159B" w:rsidP="00240907">
      <w:pPr>
        <w:spacing w:before="0" w:line="240" w:lineRule="auto"/>
        <w:jc w:val="left"/>
      </w:pPr>
      <w:r w:rsidRPr="00A96BD8">
        <w:t>These Guidelines reflect best practice developed by the national members of CFPA Europe. Where these Guidelines and national requirements conflict, national requirements shall apply.</w:t>
      </w:r>
    </w:p>
    <w:p w14:paraId="5A63478F" w14:textId="59632568" w:rsidR="00240907" w:rsidRPr="00A96BD8" w:rsidRDefault="0069159B" w:rsidP="00240907">
      <w:pPr>
        <w:spacing w:before="0" w:line="240" w:lineRule="auto"/>
        <w:jc w:val="left"/>
      </w:pPr>
      <w:r w:rsidRPr="00A96BD8">
        <w:t xml:space="preserve">This </w:t>
      </w:r>
      <w:r w:rsidR="00240907" w:rsidRPr="00A96BD8">
        <w:t xml:space="preserve">Guideline </w:t>
      </w:r>
      <w:r w:rsidRPr="00A96BD8">
        <w:t xml:space="preserve">has </w:t>
      </w:r>
      <w:r w:rsidR="00240907" w:rsidRPr="00A96BD8">
        <w:t>been compiled by the Security Commission</w:t>
      </w:r>
      <w:r w:rsidRPr="00A96BD8">
        <w:t>/Guidelines Commission/Natural Hazards Group</w:t>
      </w:r>
      <w:r w:rsidRPr="00A96BD8">
        <w:rPr>
          <w:color w:val="FF0000"/>
        </w:rPr>
        <w:t>*</w:t>
      </w:r>
      <w:r w:rsidR="00240907" w:rsidRPr="00A96BD8">
        <w:t xml:space="preserve"> and </w:t>
      </w:r>
      <w:r w:rsidRPr="00A96BD8">
        <w:t xml:space="preserve">is </w:t>
      </w:r>
      <w:r w:rsidR="00240907" w:rsidRPr="00A96BD8">
        <w:t xml:space="preserve">adopted by all members of CFPA Europe. </w:t>
      </w:r>
    </w:p>
    <w:p w14:paraId="3FD98D72" w14:textId="1814124D" w:rsidR="0069159B" w:rsidRDefault="0069159B" w:rsidP="00240907">
      <w:pPr>
        <w:spacing w:before="0" w:line="240" w:lineRule="auto"/>
        <w:jc w:val="left"/>
      </w:pPr>
    </w:p>
    <w:p w14:paraId="550EDD2D" w14:textId="4F5550F9" w:rsidR="0069159B" w:rsidRDefault="0069159B" w:rsidP="0069159B">
      <w:pPr>
        <w:spacing w:before="0" w:line="240" w:lineRule="auto"/>
        <w:ind w:left="360"/>
        <w:jc w:val="left"/>
        <w:rPr>
          <w:color w:val="FF0000"/>
        </w:rPr>
      </w:pPr>
      <w:r>
        <w:rPr>
          <w:color w:val="FF0000"/>
        </w:rPr>
        <w:t>*</w:t>
      </w:r>
      <w:r w:rsidRPr="0069159B">
        <w:rPr>
          <w:color w:val="FF0000"/>
        </w:rPr>
        <w:t xml:space="preserve">Use the correct </w:t>
      </w:r>
    </w:p>
    <w:p w14:paraId="17104071" w14:textId="77777777" w:rsidR="0069159B" w:rsidRDefault="0069159B" w:rsidP="0069159B">
      <w:pPr>
        <w:spacing w:before="0" w:line="240" w:lineRule="auto"/>
        <w:ind w:left="360"/>
        <w:jc w:val="left"/>
        <w:rPr>
          <w:color w:val="FF0000"/>
        </w:rPr>
      </w:pPr>
    </w:p>
    <w:sectPr w:rsidR="006915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1A07"/>
    <w:multiLevelType w:val="hybridMultilevel"/>
    <w:tmpl w:val="B6E281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7"/>
    <w:rsid w:val="00123A89"/>
    <w:rsid w:val="00156018"/>
    <w:rsid w:val="001F0C45"/>
    <w:rsid w:val="001F2B0D"/>
    <w:rsid w:val="00240907"/>
    <w:rsid w:val="00254C57"/>
    <w:rsid w:val="002B6A40"/>
    <w:rsid w:val="002C13D9"/>
    <w:rsid w:val="0034698F"/>
    <w:rsid w:val="004C1A94"/>
    <w:rsid w:val="004E37E3"/>
    <w:rsid w:val="0069159B"/>
    <w:rsid w:val="0082168F"/>
    <w:rsid w:val="00891C74"/>
    <w:rsid w:val="00A96BD8"/>
    <w:rsid w:val="00B00272"/>
    <w:rsid w:val="00C7015A"/>
    <w:rsid w:val="00D81327"/>
    <w:rsid w:val="00DB531E"/>
    <w:rsid w:val="00EE3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E243"/>
  <w15:chartTrackingRefBased/>
  <w15:docId w15:val="{8447B5B2-41AF-4B20-9061-511E5ABC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0907"/>
    <w:pPr>
      <w:spacing w:before="120" w:after="120" w:line="240" w:lineRule="atLeast"/>
      <w:jc w:val="both"/>
    </w:pPr>
    <w:rPr>
      <w:rFonts w:ascii="Arial" w:eastAsia="Times New Roman" w:hAnsi="Arial" w:cs="Times New Roman"/>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40907"/>
    <w:pPr>
      <w:spacing w:before="240"/>
    </w:pPr>
    <w:rPr>
      <w:b/>
      <w:kern w:val="28"/>
      <w:sz w:val="36"/>
    </w:rPr>
  </w:style>
  <w:style w:type="character" w:customStyle="1" w:styleId="TitelZchn">
    <w:name w:val="Titel Zchn"/>
    <w:basedOn w:val="Absatz-Standardschriftart"/>
    <w:link w:val="Titel"/>
    <w:rsid w:val="00240907"/>
    <w:rPr>
      <w:rFonts w:ascii="Arial" w:eastAsia="Times New Roman" w:hAnsi="Arial" w:cs="Times New Roman"/>
      <w:b/>
      <w:kern w:val="28"/>
      <w:sz w:val="36"/>
      <w:szCs w:val="20"/>
      <w:lang w:val="en-GB" w:eastAsia="de-DE"/>
    </w:rPr>
  </w:style>
  <w:style w:type="paragraph" w:styleId="Listenabsatz">
    <w:name w:val="List Paragraph"/>
    <w:basedOn w:val="Standard"/>
    <w:uiPriority w:val="34"/>
    <w:qFormat/>
    <w:rsid w:val="00691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VdS Schadenverhütung GmbH</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Ingeborg</dc:creator>
  <cp:keywords/>
  <dc:description/>
  <cp:lastModifiedBy>Vorderwülbecke, Paulus</cp:lastModifiedBy>
  <cp:revision>4</cp:revision>
  <cp:lastPrinted>2021-07-05T09:11:00Z</cp:lastPrinted>
  <dcterms:created xsi:type="dcterms:W3CDTF">2021-09-13T05:29:00Z</dcterms:created>
  <dcterms:modified xsi:type="dcterms:W3CDTF">2021-09-13T05:50:00Z</dcterms:modified>
</cp:coreProperties>
</file>